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2B7693A5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6349F5">
        <w:rPr>
          <w:b/>
          <w:sz w:val="24"/>
        </w:rPr>
        <w:t>533</w:t>
      </w:r>
      <w:r>
        <w:rPr>
          <w:b/>
          <w:sz w:val="24"/>
        </w:rPr>
        <w:t>/21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6DB34787" w:rsidR="001B2C00" w:rsidRPr="00C85E06" w:rsidRDefault="006349F5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6349F5">
        <w:rPr>
          <w:rFonts w:ascii="Verdana" w:eastAsia="Times New Roman" w:hAnsi="Verdana"/>
          <w:b/>
          <w:sz w:val="20"/>
          <w:szCs w:val="20"/>
          <w:lang w:eastAsia="pl-PL"/>
        </w:rPr>
        <w:t>dostawa foteli ergonomicznych dla pracowników AGH - KC-zp.272-533/21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336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7</cp:revision>
  <cp:lastPrinted>2021-06-22T11:54:00Z</cp:lastPrinted>
  <dcterms:created xsi:type="dcterms:W3CDTF">2021-06-22T11:54:00Z</dcterms:created>
  <dcterms:modified xsi:type="dcterms:W3CDTF">2021-09-24T10:47:00Z</dcterms:modified>
</cp:coreProperties>
</file>