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C6119A" w:rsidP="006E07E6">
      <w:pPr>
        <w:jc w:val="right"/>
        <w:rPr>
          <w:sz w:val="22"/>
          <w:szCs w:val="22"/>
        </w:rPr>
      </w:pPr>
      <w:r w:rsidRPr="00C6119A">
        <w:rPr>
          <w:sz w:val="22"/>
          <w:szCs w:val="22"/>
        </w:rPr>
        <w:t>Kraków</w:t>
      </w:r>
      <w:r w:rsidR="006A5DF1" w:rsidRPr="00D91931">
        <w:rPr>
          <w:sz w:val="22"/>
          <w:szCs w:val="22"/>
        </w:rPr>
        <w:t xml:space="preserve"> dnia: </w:t>
      </w:r>
      <w:r w:rsidRPr="00C6119A">
        <w:rPr>
          <w:sz w:val="22"/>
          <w:szCs w:val="22"/>
        </w:rPr>
        <w:t>2023-07-26</w:t>
      </w:r>
    </w:p>
    <w:p w:rsidR="00C6119A" w:rsidRPr="00C6119A" w:rsidRDefault="00C6119A" w:rsidP="006E07E6">
      <w:pPr>
        <w:rPr>
          <w:b/>
          <w:bCs/>
          <w:sz w:val="22"/>
          <w:szCs w:val="22"/>
        </w:rPr>
      </w:pPr>
      <w:r w:rsidRPr="00C6119A">
        <w:rPr>
          <w:b/>
          <w:bCs/>
          <w:sz w:val="22"/>
          <w:szCs w:val="22"/>
        </w:rPr>
        <w:t>Akademia Górniczo - Hutnicza</w:t>
      </w:r>
    </w:p>
    <w:p w:rsidR="00C6119A" w:rsidRPr="00C6119A" w:rsidRDefault="00C6119A" w:rsidP="006E07E6">
      <w:pPr>
        <w:rPr>
          <w:b/>
          <w:bCs/>
          <w:sz w:val="22"/>
          <w:szCs w:val="22"/>
        </w:rPr>
      </w:pPr>
      <w:r w:rsidRPr="00C6119A">
        <w:rPr>
          <w:b/>
          <w:bCs/>
          <w:sz w:val="22"/>
          <w:szCs w:val="22"/>
        </w:rPr>
        <w:t>im. Stanisława Staszica w Krakowie</w:t>
      </w:r>
    </w:p>
    <w:p w:rsidR="006A5DF1" w:rsidRPr="00D91931" w:rsidRDefault="00C6119A" w:rsidP="006E07E6">
      <w:pPr>
        <w:rPr>
          <w:b/>
          <w:bCs/>
          <w:sz w:val="22"/>
          <w:szCs w:val="22"/>
        </w:rPr>
      </w:pPr>
      <w:r w:rsidRPr="00C6119A">
        <w:rPr>
          <w:b/>
          <w:bCs/>
          <w:sz w:val="22"/>
          <w:szCs w:val="22"/>
        </w:rPr>
        <w:t>Dział Zamówień Publicznych</w:t>
      </w:r>
    </w:p>
    <w:p w:rsidR="006A5DF1" w:rsidRPr="00BD5546" w:rsidRDefault="00C6119A" w:rsidP="006E07E6">
      <w:pPr>
        <w:rPr>
          <w:sz w:val="22"/>
          <w:szCs w:val="22"/>
        </w:rPr>
      </w:pPr>
      <w:r w:rsidRPr="00C6119A">
        <w:rPr>
          <w:sz w:val="22"/>
          <w:szCs w:val="22"/>
        </w:rPr>
        <w:t>Al. Mickiewicza</w:t>
      </w:r>
      <w:r w:rsidR="006A5DF1" w:rsidRPr="00BD5546">
        <w:rPr>
          <w:sz w:val="22"/>
          <w:szCs w:val="22"/>
        </w:rPr>
        <w:t xml:space="preserve"> </w:t>
      </w:r>
      <w:r w:rsidRPr="00C6119A">
        <w:rPr>
          <w:sz w:val="22"/>
          <w:szCs w:val="22"/>
        </w:rPr>
        <w:t>30</w:t>
      </w:r>
    </w:p>
    <w:p w:rsidR="006A5DF1" w:rsidRPr="00BD5546" w:rsidRDefault="00C6119A" w:rsidP="006E07E6">
      <w:pPr>
        <w:rPr>
          <w:sz w:val="22"/>
          <w:szCs w:val="22"/>
        </w:rPr>
      </w:pPr>
      <w:r w:rsidRPr="00C6119A">
        <w:rPr>
          <w:sz w:val="22"/>
          <w:szCs w:val="22"/>
        </w:rPr>
        <w:t>30-059</w:t>
      </w:r>
      <w:r w:rsidR="006A5DF1" w:rsidRPr="00BD5546">
        <w:rPr>
          <w:sz w:val="22"/>
          <w:szCs w:val="22"/>
        </w:rPr>
        <w:t xml:space="preserve"> </w:t>
      </w:r>
      <w:r w:rsidRPr="00C6119A">
        <w:rPr>
          <w:sz w:val="22"/>
          <w:szCs w:val="22"/>
        </w:rPr>
        <w:t>Kraków</w:t>
      </w:r>
    </w:p>
    <w:p w:rsidR="006A5DF1" w:rsidRPr="00D91931" w:rsidRDefault="006A5DF1" w:rsidP="006E07E6">
      <w:pPr>
        <w:pStyle w:val="Nagwek"/>
        <w:tabs>
          <w:tab w:val="clear" w:pos="4536"/>
        </w:tabs>
        <w:rPr>
          <w:sz w:val="22"/>
          <w:szCs w:val="22"/>
        </w:rPr>
      </w:pPr>
      <w:r w:rsidRPr="00BD5546">
        <w:rPr>
          <w:sz w:val="22"/>
          <w:szCs w:val="22"/>
        </w:rPr>
        <w:t>Pismo:</w:t>
      </w:r>
      <w:r w:rsidRPr="00D91931">
        <w:rPr>
          <w:b/>
          <w:bCs/>
          <w:sz w:val="22"/>
          <w:szCs w:val="22"/>
        </w:rPr>
        <w:t xml:space="preserve"> </w:t>
      </w:r>
      <w:r w:rsidR="00852ED4" w:rsidRPr="00852ED4">
        <w:rPr>
          <w:bCs/>
          <w:sz w:val="22"/>
          <w:szCs w:val="22"/>
        </w:rPr>
        <w:t>KC-zp.272-394/23</w:t>
      </w:r>
      <w:r w:rsidRPr="00D91931">
        <w:rPr>
          <w:sz w:val="22"/>
          <w:szCs w:val="22"/>
        </w:rPr>
        <w:tab/>
        <w:t xml:space="preserve"> </w:t>
      </w:r>
    </w:p>
    <w:p w:rsidR="006A5DF1" w:rsidRPr="00D91931" w:rsidRDefault="006A5DF1" w:rsidP="006E07E6">
      <w:pPr>
        <w:pStyle w:val="Nagwek"/>
        <w:tabs>
          <w:tab w:val="clear" w:pos="4536"/>
          <w:tab w:val="clear" w:pos="9072"/>
        </w:tabs>
        <w:rPr>
          <w:sz w:val="22"/>
          <w:szCs w:val="22"/>
        </w:rPr>
      </w:pPr>
    </w:p>
    <w:p w:rsidR="006A5DF1" w:rsidRPr="00D91931" w:rsidRDefault="006A5DF1" w:rsidP="006E07E6">
      <w:pPr>
        <w:tabs>
          <w:tab w:val="left" w:pos="708"/>
          <w:tab w:val="center" w:pos="4536"/>
          <w:tab w:val="right" w:pos="9072"/>
        </w:tabs>
        <w:ind w:left="5245"/>
        <w:rPr>
          <w:b/>
          <w:sz w:val="22"/>
          <w:szCs w:val="22"/>
        </w:rPr>
      </w:pPr>
      <w:r w:rsidRPr="00D91931">
        <w:rPr>
          <w:b/>
          <w:sz w:val="22"/>
          <w:szCs w:val="22"/>
        </w:rPr>
        <w:t>WYKONAWCY</w:t>
      </w:r>
    </w:p>
    <w:p w:rsidR="006A5DF1" w:rsidRPr="00D91931" w:rsidRDefault="006A5DF1" w:rsidP="006E07E6">
      <w:pPr>
        <w:tabs>
          <w:tab w:val="left" w:pos="708"/>
          <w:tab w:val="center" w:pos="4536"/>
          <w:tab w:val="right" w:pos="9072"/>
        </w:tabs>
        <w:ind w:left="5245"/>
        <w:rPr>
          <w:sz w:val="22"/>
          <w:szCs w:val="22"/>
        </w:rPr>
      </w:pPr>
      <w:r w:rsidRPr="00D91931">
        <w:rPr>
          <w:sz w:val="22"/>
          <w:szCs w:val="22"/>
        </w:rPr>
        <w:t>ubiegający się o zamówienie publiczne</w:t>
      </w:r>
    </w:p>
    <w:p w:rsidR="006D4AB3" w:rsidRPr="006A5DF1" w:rsidRDefault="006D4AB3" w:rsidP="006E07E6">
      <w:pPr>
        <w:pStyle w:val="Nagwek"/>
        <w:tabs>
          <w:tab w:val="clear" w:pos="4536"/>
        </w:tabs>
        <w:rPr>
          <w:sz w:val="22"/>
          <w:szCs w:val="22"/>
        </w:rPr>
      </w:pPr>
    </w:p>
    <w:p w:rsidR="00632C3C" w:rsidRDefault="00E21B49" w:rsidP="006E07E6">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E07E6" w:rsidRPr="006E07E6" w:rsidRDefault="006E07E6" w:rsidP="006E07E6"/>
    <w:p w:rsidR="006D4AB3" w:rsidRPr="006A5DF1" w:rsidRDefault="00632C3C" w:rsidP="006E07E6">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C6119A" w:rsidRPr="00C6119A">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C6119A" w:rsidRPr="00C6119A">
        <w:rPr>
          <w:b/>
          <w:bCs/>
          <w:sz w:val="22"/>
          <w:szCs w:val="22"/>
        </w:rPr>
        <w:t>Dostawa energii elektrycznej na 2024 dla Akademii Górniczo - Hutniczej, Uniwersytetu Rolniczego w Krakowie, Akademii Sztuk Pięknych w Krakowie oraz Uniwersytetu Papieskiego Jana Pawła II w Krakowie - KC-zp.272-394/23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6119A" w:rsidRPr="00C6119A">
        <w:rPr>
          <w:b/>
          <w:sz w:val="22"/>
          <w:szCs w:val="22"/>
        </w:rPr>
        <w:t>KC-zp.272-394/23</w:t>
      </w:r>
      <w:r w:rsidRPr="006A5DF1">
        <w:rPr>
          <w:b/>
          <w:sz w:val="22"/>
          <w:szCs w:val="22"/>
        </w:rPr>
        <w:t>.</w:t>
      </w:r>
    </w:p>
    <w:p w:rsidR="0012774F" w:rsidRDefault="00520165" w:rsidP="006E07E6">
      <w:pPr>
        <w:jc w:val="both"/>
        <w:rPr>
          <w:bCs/>
          <w:sz w:val="22"/>
          <w:szCs w:val="22"/>
          <w:lang w:eastAsia="ar-SA"/>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6E07E6" w:rsidRPr="006A5DF1" w:rsidRDefault="006E07E6" w:rsidP="006E07E6">
      <w:pPr>
        <w:jc w:val="both"/>
        <w:rPr>
          <w:sz w:val="22"/>
          <w:szCs w:val="22"/>
        </w:rPr>
      </w:pPr>
      <w:bookmarkStart w:id="0" w:name="_GoBack"/>
      <w:bookmarkEnd w:id="0"/>
    </w:p>
    <w:tbl>
      <w:tblPr>
        <w:tblW w:w="9356" w:type="dxa"/>
        <w:tblInd w:w="-34" w:type="dxa"/>
        <w:tblLook w:val="04A0" w:firstRow="1" w:lastRow="0" w:firstColumn="1" w:lastColumn="0" w:noHBand="0" w:noVBand="1"/>
      </w:tblPr>
      <w:tblGrid>
        <w:gridCol w:w="9356"/>
      </w:tblGrid>
      <w:tr w:rsidR="00C6119A" w:rsidRPr="005F7C3C" w:rsidTr="008C41DB">
        <w:tc>
          <w:tcPr>
            <w:tcW w:w="9356" w:type="dxa"/>
            <w:shd w:val="clear" w:color="auto" w:fill="auto"/>
          </w:tcPr>
          <w:p w:rsidR="00C6119A" w:rsidRPr="005F7C3C" w:rsidRDefault="008048F4" w:rsidP="005F7C3C">
            <w:pPr>
              <w:spacing w:after="120"/>
              <w:ind w:left="30" w:right="-72"/>
              <w:jc w:val="both"/>
              <w:rPr>
                <w:sz w:val="22"/>
                <w:szCs w:val="22"/>
              </w:rPr>
            </w:pPr>
            <w:r w:rsidRPr="005F7C3C">
              <w:rPr>
                <w:b/>
                <w:bCs/>
                <w:sz w:val="22"/>
                <w:szCs w:val="22"/>
              </w:rPr>
              <w:t>Pytanie 1:</w:t>
            </w:r>
          </w:p>
          <w:p w:rsidR="00C6119A" w:rsidRPr="005F7C3C" w:rsidRDefault="00C6119A" w:rsidP="005F7C3C">
            <w:pPr>
              <w:spacing w:after="120"/>
              <w:ind w:left="30" w:right="-72"/>
              <w:jc w:val="both"/>
              <w:rPr>
                <w:sz w:val="22"/>
                <w:szCs w:val="22"/>
              </w:rPr>
            </w:pPr>
            <w:r w:rsidRPr="005F7C3C">
              <w:rPr>
                <w:sz w:val="22"/>
                <w:szCs w:val="22"/>
              </w:rPr>
              <w:t>Wykonawca wnioskuje o usunięcie zapisów §11 dot. waloryzacji ceny. Zakup z wykorzystaniem mechanizmu giełdowego przenosi na Zamawiającego decyzję dot. momentu zakupu energii elektrycznej i daje możliwość ostatecznego wpływu na wysokość ceny. Przyjęty przez Państwa model zakupu pozwala na złożenie kilku zleceń składających się na finalną wysokość ceny po jakiej zostanie rozliczony zakupiony wolumen energii elektrycznej. Jednocześnie składając zlecenie, wolumen energii elektrycznej zostaje zabezpieczony( zakupiony) po cenie zgodnej z kursem notowań TGE na dzień złożenia zlecenia. Cena jednostkowa a także wolumen zostają zabezpieczone przed rozpoczęciem okresu realizacji umowy.</w:t>
            </w:r>
          </w:p>
          <w:p w:rsidR="00C6119A" w:rsidRPr="005F7C3C" w:rsidRDefault="00C6119A" w:rsidP="005F7C3C">
            <w:pPr>
              <w:spacing w:after="40"/>
              <w:ind w:left="30" w:right="-72"/>
              <w:jc w:val="both"/>
              <w:rPr>
                <w:b/>
                <w:bCs/>
                <w:sz w:val="22"/>
                <w:szCs w:val="22"/>
              </w:rPr>
            </w:pPr>
            <w:r w:rsidRPr="005F7C3C">
              <w:rPr>
                <w:b/>
                <w:bCs/>
                <w:sz w:val="22"/>
                <w:szCs w:val="22"/>
              </w:rPr>
              <w:t>Odpowiedź:</w:t>
            </w:r>
          </w:p>
          <w:p w:rsidR="00C6119A" w:rsidRPr="005F7C3C" w:rsidRDefault="0062512C" w:rsidP="005F7C3C">
            <w:pPr>
              <w:spacing w:after="60"/>
              <w:ind w:left="30" w:right="-72"/>
              <w:jc w:val="both"/>
              <w:rPr>
                <w:sz w:val="22"/>
                <w:szCs w:val="22"/>
              </w:rPr>
            </w:pPr>
            <w:r w:rsidRPr="005F7C3C">
              <w:rPr>
                <w:sz w:val="22"/>
                <w:szCs w:val="22"/>
              </w:rPr>
              <w:t xml:space="preserve">Zamawiający dokonuje zmiany zapisów w </w:t>
            </w:r>
            <w:r w:rsidRPr="005F7C3C">
              <w:rPr>
                <w:sz w:val="22"/>
                <w:szCs w:val="22"/>
              </w:rPr>
              <w:t>§11</w:t>
            </w:r>
            <w:r w:rsidR="005F7C3C" w:rsidRPr="005F7C3C">
              <w:rPr>
                <w:sz w:val="22"/>
                <w:szCs w:val="22"/>
              </w:rPr>
              <w:t xml:space="preserve"> </w:t>
            </w:r>
            <w:r w:rsidR="005F7C3C" w:rsidRPr="005F7C3C">
              <w:rPr>
                <w:b/>
                <w:bCs/>
                <w:sz w:val="22"/>
                <w:szCs w:val="22"/>
              </w:rPr>
              <w:t>Zmiany umowy - waloryzacja</w:t>
            </w:r>
            <w:r w:rsidRPr="005F7C3C">
              <w:rPr>
                <w:sz w:val="22"/>
                <w:szCs w:val="22"/>
              </w:rPr>
              <w:t xml:space="preserve"> w następujący sposób:</w:t>
            </w:r>
          </w:p>
          <w:p w:rsidR="0062512C" w:rsidRPr="005F7C3C" w:rsidRDefault="0062512C" w:rsidP="005F7C3C">
            <w:pPr>
              <w:spacing w:after="60"/>
              <w:ind w:left="30" w:right="-72"/>
              <w:jc w:val="both"/>
              <w:rPr>
                <w:sz w:val="22"/>
                <w:szCs w:val="22"/>
                <w:u w:val="single"/>
              </w:rPr>
            </w:pPr>
            <w:r w:rsidRPr="005F7C3C">
              <w:rPr>
                <w:sz w:val="22"/>
                <w:szCs w:val="22"/>
                <w:u w:val="single"/>
              </w:rPr>
              <w:t>Zamiast:</w:t>
            </w:r>
          </w:p>
          <w:p w:rsidR="005F7C3C" w:rsidRPr="005F7C3C" w:rsidRDefault="005F7C3C" w:rsidP="005F7C3C">
            <w:pPr>
              <w:numPr>
                <w:ilvl w:val="0"/>
                <w:numId w:val="11"/>
              </w:numPr>
              <w:tabs>
                <w:tab w:val="left" w:pos="284"/>
              </w:tabs>
              <w:ind w:left="0" w:firstLine="0"/>
              <w:contextualSpacing/>
              <w:jc w:val="both"/>
              <w:rPr>
                <w:rFonts w:eastAsia="Calibri"/>
                <w:sz w:val="22"/>
                <w:szCs w:val="22"/>
              </w:rPr>
            </w:pPr>
            <w:r w:rsidRPr="005F7C3C">
              <w:rPr>
                <w:rFonts w:eastAsia="Calibri"/>
                <w:sz w:val="22"/>
                <w:szCs w:val="22"/>
              </w:rPr>
              <w:t>Strony przewidują możliwość zmiany poziomu wynagrodzenia, o którym mowa w §5 ust 1 Umowy,  w związku ze zmianami cen materiałów lub kosztów związanych z realizacją przedmiotu umowy jeżeli zmiany te będą miały wpływ na koszt wykonania Umowy (dalej jako waloryzacja wynagrodzenia), z zastrzeżeniem, że:</w:t>
            </w:r>
          </w:p>
          <w:p w:rsidR="005F7C3C" w:rsidRPr="005F7C3C" w:rsidRDefault="005F7C3C" w:rsidP="005F7C3C">
            <w:pPr>
              <w:numPr>
                <w:ilvl w:val="0"/>
                <w:numId w:val="12"/>
              </w:numPr>
              <w:ind w:left="284" w:hanging="284"/>
              <w:contextualSpacing/>
              <w:jc w:val="both"/>
              <w:rPr>
                <w:rFonts w:eastAsia="Calibri"/>
                <w:sz w:val="22"/>
                <w:szCs w:val="22"/>
              </w:rPr>
            </w:pPr>
            <w:r w:rsidRPr="005F7C3C">
              <w:rPr>
                <w:rFonts w:eastAsia="Calibri"/>
                <w:sz w:val="22"/>
                <w:szCs w:val="22"/>
              </w:rPr>
              <w:t xml:space="preserve"> przez zmianę wysokości wynagrodzenia rozumie się jego podwyższenie, jak i obniżenie;</w:t>
            </w:r>
          </w:p>
          <w:p w:rsidR="005F7C3C" w:rsidRPr="005F7C3C" w:rsidRDefault="005F7C3C" w:rsidP="005F7C3C">
            <w:pPr>
              <w:numPr>
                <w:ilvl w:val="0"/>
                <w:numId w:val="12"/>
              </w:numPr>
              <w:ind w:left="284" w:hanging="284"/>
              <w:jc w:val="both"/>
              <w:rPr>
                <w:rFonts w:eastAsia="Calibri"/>
                <w:sz w:val="22"/>
                <w:szCs w:val="22"/>
              </w:rPr>
            </w:pPr>
            <w:r w:rsidRPr="005F7C3C">
              <w:rPr>
                <w:rFonts w:eastAsia="Calibri"/>
                <w:sz w:val="22"/>
                <w:szCs w:val="22"/>
              </w:rPr>
              <w:t xml:space="preserve"> 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5F7C3C" w:rsidRPr="005F7C3C" w:rsidRDefault="005F7C3C" w:rsidP="005F7C3C">
            <w:pPr>
              <w:numPr>
                <w:ilvl w:val="0"/>
                <w:numId w:val="12"/>
              </w:numPr>
              <w:ind w:left="284" w:hanging="284"/>
              <w:contextualSpacing/>
              <w:jc w:val="both"/>
              <w:rPr>
                <w:rFonts w:eastAsia="Calibri"/>
                <w:sz w:val="22"/>
                <w:szCs w:val="22"/>
              </w:rPr>
            </w:pPr>
            <w:r w:rsidRPr="005F7C3C">
              <w:rPr>
                <w:rFonts w:eastAsia="Calibri"/>
                <w:sz w:val="22"/>
                <w:szCs w:val="22"/>
              </w:rPr>
              <w:t xml:space="preserve"> pierwsza waloryzacja wynagrodzenia Sprzedawcy w oparciu o  wskaźnik podany w lit. b)  może zostać dokonana po upływie 6 pełnych miesięcy obowiązywania umowy, </w:t>
            </w:r>
          </w:p>
          <w:p w:rsidR="005F7C3C" w:rsidRPr="005F7C3C" w:rsidRDefault="005F7C3C" w:rsidP="005F7C3C">
            <w:pPr>
              <w:numPr>
                <w:ilvl w:val="0"/>
                <w:numId w:val="12"/>
              </w:numPr>
              <w:ind w:left="284" w:hanging="284"/>
              <w:contextualSpacing/>
              <w:jc w:val="both"/>
              <w:rPr>
                <w:rFonts w:eastAsia="Calibri"/>
                <w:sz w:val="22"/>
                <w:szCs w:val="22"/>
              </w:rPr>
            </w:pPr>
            <w:r w:rsidRPr="005F7C3C">
              <w:rPr>
                <w:rFonts w:eastAsia="Calibri"/>
                <w:sz w:val="22"/>
                <w:szCs w:val="22"/>
              </w:rPr>
              <w:t xml:space="preserve"> podstawą do wystąpienia o zmianę wysokości wynagrodzenia jest zmiana miesięcznego wskaźnika cen towarów i usług konsumpcyjnych, o którym mowa w lit. b), w stosunku do analogicznego miesiąca roku poprzedniego o więcej niż 4% punktów procentowych,</w:t>
            </w:r>
          </w:p>
          <w:p w:rsidR="005F7C3C" w:rsidRPr="005F7C3C" w:rsidRDefault="005F7C3C" w:rsidP="005F7C3C">
            <w:pPr>
              <w:numPr>
                <w:ilvl w:val="0"/>
                <w:numId w:val="12"/>
              </w:numPr>
              <w:ind w:left="284" w:hanging="284"/>
              <w:contextualSpacing/>
              <w:jc w:val="both"/>
              <w:rPr>
                <w:rFonts w:eastAsia="Calibri"/>
                <w:sz w:val="22"/>
                <w:szCs w:val="22"/>
              </w:rPr>
            </w:pPr>
            <w:r w:rsidRPr="005F7C3C">
              <w:rPr>
                <w:rFonts w:eastAsia="Calibri"/>
                <w:sz w:val="22"/>
                <w:szCs w:val="22"/>
              </w:rPr>
              <w:t xml:space="preserve"> wynagrodzenie będzie podlegało waloryzacji maksymalnie do 5  %  wysokości wynagrodzenia Sprzedawcy wskazanego w ofercie i nie częściej niż co 6 miesięcy</w:t>
            </w:r>
          </w:p>
          <w:p w:rsidR="005F7C3C" w:rsidRPr="005F7C3C" w:rsidRDefault="005F7C3C" w:rsidP="005F7C3C">
            <w:pPr>
              <w:numPr>
                <w:ilvl w:val="0"/>
                <w:numId w:val="11"/>
              </w:numPr>
              <w:ind w:left="284" w:hanging="284"/>
              <w:contextualSpacing/>
              <w:jc w:val="both"/>
              <w:rPr>
                <w:rFonts w:eastAsia="Calibri"/>
                <w:sz w:val="22"/>
                <w:szCs w:val="22"/>
              </w:rPr>
            </w:pPr>
            <w:r w:rsidRPr="005F7C3C">
              <w:rPr>
                <w:rFonts w:eastAsia="Calibri"/>
                <w:sz w:val="22"/>
                <w:szCs w:val="22"/>
              </w:rPr>
              <w:t xml:space="preserve"> Zmiana wynagrodzenia, może zostać wprowadzona na wniosek Stron, zgodnie z poniższymi zasadami:</w:t>
            </w:r>
          </w:p>
          <w:p w:rsidR="005F7C3C" w:rsidRPr="005F7C3C" w:rsidRDefault="005F7C3C" w:rsidP="005F7C3C">
            <w:pPr>
              <w:numPr>
                <w:ilvl w:val="0"/>
                <w:numId w:val="13"/>
              </w:numPr>
              <w:ind w:left="284" w:hanging="284"/>
              <w:contextualSpacing/>
              <w:jc w:val="both"/>
              <w:rPr>
                <w:rFonts w:eastAsia="Calibri"/>
                <w:sz w:val="22"/>
                <w:szCs w:val="22"/>
              </w:rPr>
            </w:pPr>
            <w:r w:rsidRPr="005F7C3C">
              <w:rPr>
                <w:rFonts w:eastAsia="Calibri"/>
                <w:sz w:val="22"/>
                <w:szCs w:val="22"/>
              </w:rPr>
              <w:t xml:space="preserve"> waloryzacja wynagrodzenia Sprzedawcy będzie dotyczyła tylko niezrealizowanej części zamówienia, </w:t>
            </w:r>
          </w:p>
          <w:p w:rsidR="005F7C3C" w:rsidRPr="005F7C3C" w:rsidRDefault="005F7C3C" w:rsidP="005F7C3C">
            <w:pPr>
              <w:numPr>
                <w:ilvl w:val="0"/>
                <w:numId w:val="13"/>
              </w:numPr>
              <w:ind w:left="284" w:hanging="284"/>
              <w:contextualSpacing/>
              <w:jc w:val="both"/>
              <w:rPr>
                <w:rFonts w:eastAsia="Calibri"/>
                <w:sz w:val="22"/>
                <w:szCs w:val="22"/>
              </w:rPr>
            </w:pPr>
            <w:r w:rsidRPr="005F7C3C">
              <w:rPr>
                <w:rFonts w:eastAsia="Calibri"/>
                <w:sz w:val="22"/>
                <w:szCs w:val="22"/>
              </w:rPr>
              <w:lastRenderedPageBreak/>
              <w:t xml:space="preserve"> Sprzedawca wskazuje wielkość procentową zwiększenia wynagrodzenia, nieprzekraczającą wielkości przyjętego wskaźnika, wraz z kalkulacjami obrazującymi, w jakim stopniu zmiana cen materiałów lub kosztów wpłynęła na zwiększenie kosztów realizacji umowy.</w:t>
            </w:r>
          </w:p>
          <w:p w:rsidR="005F7C3C" w:rsidRPr="005F7C3C" w:rsidRDefault="005F7C3C" w:rsidP="005F7C3C">
            <w:pPr>
              <w:numPr>
                <w:ilvl w:val="0"/>
                <w:numId w:val="13"/>
              </w:numPr>
              <w:ind w:left="284" w:hanging="284"/>
              <w:contextualSpacing/>
              <w:jc w:val="both"/>
              <w:rPr>
                <w:rFonts w:eastAsia="Calibri"/>
                <w:sz w:val="22"/>
                <w:szCs w:val="22"/>
              </w:rPr>
            </w:pPr>
            <w:r w:rsidRPr="005F7C3C">
              <w:rPr>
                <w:rFonts w:eastAsia="Calibri"/>
                <w:sz w:val="22"/>
                <w:szCs w:val="22"/>
              </w:rPr>
              <w:t xml:space="preserve"> W przypadku wykazania przez Sprzedawcę, iż zmiana cen materiałów lub kosztów realizacji umowy jest niższa niż wskaźnik waloryzacji o którym mowa w ust. 1 lit. b), wynagrodzenie zostanie zwaloryzowane do wysokości określonej we wniosku.  </w:t>
            </w:r>
          </w:p>
          <w:p w:rsidR="005F7C3C" w:rsidRPr="005F7C3C" w:rsidRDefault="005F7C3C" w:rsidP="005F7C3C">
            <w:pPr>
              <w:numPr>
                <w:ilvl w:val="0"/>
                <w:numId w:val="13"/>
              </w:numPr>
              <w:ind w:left="284" w:hanging="284"/>
              <w:contextualSpacing/>
              <w:jc w:val="both"/>
              <w:rPr>
                <w:rFonts w:eastAsia="Calibri"/>
                <w:sz w:val="22"/>
                <w:szCs w:val="22"/>
              </w:rPr>
            </w:pPr>
            <w:r w:rsidRPr="005F7C3C">
              <w:rPr>
                <w:rFonts w:eastAsia="Calibri"/>
                <w:sz w:val="22"/>
                <w:szCs w:val="22"/>
              </w:rPr>
              <w:t xml:space="preserve">  W przypadku wykazania przez Sprzedawcę, iż zmiana cen materiałów lub kosztów realizacji umowy jest wyższa niż wskaźnik waloryzacji, o którym mowa w ust. 1 lit. b), wynagrodzenie zostanie zwaloryzowane maksymalnie do wysokości wskaźnika waloryzacji. </w:t>
            </w:r>
          </w:p>
          <w:p w:rsidR="005F7C3C" w:rsidRPr="005F7C3C" w:rsidRDefault="005F7C3C" w:rsidP="005F7C3C">
            <w:pPr>
              <w:numPr>
                <w:ilvl w:val="0"/>
                <w:numId w:val="13"/>
              </w:numPr>
              <w:ind w:left="284" w:hanging="284"/>
              <w:contextualSpacing/>
              <w:jc w:val="both"/>
              <w:rPr>
                <w:rFonts w:eastAsia="Calibri"/>
                <w:sz w:val="22"/>
                <w:szCs w:val="22"/>
              </w:rPr>
            </w:pPr>
            <w:r w:rsidRPr="005F7C3C">
              <w:rPr>
                <w:rFonts w:eastAsia="Calibri"/>
                <w:sz w:val="22"/>
                <w:szCs w:val="22"/>
              </w:rPr>
              <w:t xml:space="preserve">  W przypadku wniosku  złożonego przez Sprzedawcę, Kupujący,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5F7C3C" w:rsidRPr="005F7C3C" w:rsidRDefault="005F7C3C" w:rsidP="005F7C3C">
            <w:pPr>
              <w:numPr>
                <w:ilvl w:val="0"/>
                <w:numId w:val="13"/>
              </w:numPr>
              <w:ind w:left="284" w:hanging="284"/>
              <w:contextualSpacing/>
              <w:jc w:val="both"/>
              <w:rPr>
                <w:rFonts w:eastAsia="Calibri"/>
                <w:sz w:val="22"/>
                <w:szCs w:val="22"/>
              </w:rPr>
            </w:pPr>
            <w:r w:rsidRPr="005F7C3C">
              <w:rPr>
                <w:rFonts w:eastAsia="Calibri"/>
                <w:sz w:val="22"/>
                <w:szCs w:val="22"/>
              </w:rPr>
              <w:t xml:space="preserve">  W przypadku wniosku  złożonego przez Kupującego, Kupujący wskazuje wielkość procentową obniżenia wynagrodzenia, nieprzekraczającą wielkości przyjętego wskaźnika. </w:t>
            </w:r>
          </w:p>
          <w:p w:rsidR="005F7C3C" w:rsidRPr="005F7C3C" w:rsidRDefault="005F7C3C" w:rsidP="005F7C3C">
            <w:pPr>
              <w:ind w:left="284" w:hanging="284"/>
              <w:contextualSpacing/>
              <w:jc w:val="both"/>
              <w:rPr>
                <w:rFonts w:eastAsia="Calibri"/>
                <w:sz w:val="22"/>
                <w:szCs w:val="22"/>
              </w:rPr>
            </w:pPr>
            <w:r w:rsidRPr="005F7C3C">
              <w:rPr>
                <w:rFonts w:eastAsia="Calibri"/>
                <w:sz w:val="22"/>
                <w:szCs w:val="22"/>
              </w:rPr>
              <w:t>3.  Sprzedawca, w terminie 14 dni od dnia złożenia wniosku, dokona jego oceny i podejmie decyzję o ewentualnej zmianie wysokości wynagrodzenia lub  odmówi wprowadzania zmiany, przedstawiając swoje stanowisko.</w:t>
            </w:r>
          </w:p>
          <w:p w:rsidR="0062512C" w:rsidRPr="005F7C3C" w:rsidRDefault="005F7C3C" w:rsidP="005F7C3C">
            <w:pPr>
              <w:spacing w:after="60"/>
              <w:ind w:left="314" w:right="-72" w:hanging="284"/>
              <w:jc w:val="both"/>
              <w:rPr>
                <w:rFonts w:eastAsia="SimSun"/>
                <w:color w:val="000000"/>
                <w:kern w:val="2"/>
                <w:sz w:val="22"/>
                <w:szCs w:val="22"/>
              </w:rPr>
            </w:pPr>
            <w:r w:rsidRPr="005F7C3C">
              <w:rPr>
                <w:rFonts w:eastAsia="Calibri"/>
                <w:sz w:val="22"/>
                <w:szCs w:val="22"/>
              </w:rPr>
              <w:t>4. Sprzedawca, którego wynagrodzenie zostało zmienione zgodnie z § 11 zobowiązuje się do zmiany wynagrodzenia przysługującego podwykonawcy, z którym zawarł umowę, w zakresie odpowiadającym zmianom cen materiałów lub kosztów dotyczących zobowiązania podwykonawcy (dotyczy sytuacji, w której w ofercie wskazano podwykonawcę).</w:t>
            </w:r>
            <w:r w:rsidRPr="005F7C3C">
              <w:rPr>
                <w:rFonts w:eastAsia="SimSun"/>
                <w:color w:val="000000"/>
                <w:kern w:val="2"/>
                <w:sz w:val="22"/>
                <w:szCs w:val="22"/>
              </w:rPr>
              <w:t xml:space="preserve">            </w:t>
            </w:r>
          </w:p>
          <w:p w:rsidR="005F7C3C" w:rsidRDefault="005F7C3C" w:rsidP="005F7C3C">
            <w:pPr>
              <w:spacing w:after="60"/>
              <w:ind w:left="30" w:right="-72"/>
              <w:jc w:val="both"/>
              <w:rPr>
                <w:sz w:val="22"/>
                <w:szCs w:val="22"/>
                <w:u w:val="single"/>
              </w:rPr>
            </w:pPr>
          </w:p>
          <w:p w:rsidR="005F7C3C" w:rsidRPr="005F7C3C" w:rsidRDefault="005F7C3C" w:rsidP="005F7C3C">
            <w:pPr>
              <w:spacing w:after="60"/>
              <w:ind w:left="30" w:right="-72"/>
              <w:jc w:val="both"/>
              <w:rPr>
                <w:sz w:val="22"/>
                <w:szCs w:val="22"/>
                <w:u w:val="single"/>
              </w:rPr>
            </w:pPr>
            <w:r w:rsidRPr="005F7C3C">
              <w:rPr>
                <w:sz w:val="22"/>
                <w:szCs w:val="22"/>
                <w:u w:val="single"/>
              </w:rPr>
              <w:t>Powinno być:</w:t>
            </w:r>
          </w:p>
          <w:p w:rsidR="005F7C3C" w:rsidRPr="005F7C3C" w:rsidRDefault="005F7C3C" w:rsidP="005F7C3C">
            <w:pPr>
              <w:tabs>
                <w:tab w:val="left" w:pos="284"/>
              </w:tabs>
              <w:ind w:left="314" w:hanging="314"/>
              <w:contextualSpacing/>
              <w:jc w:val="both"/>
              <w:rPr>
                <w:rFonts w:eastAsia="Calibri"/>
                <w:sz w:val="22"/>
                <w:szCs w:val="22"/>
              </w:rPr>
            </w:pPr>
            <w:r w:rsidRPr="005F7C3C">
              <w:rPr>
                <w:rFonts w:eastAsia="Calibri"/>
                <w:sz w:val="22"/>
                <w:szCs w:val="22"/>
              </w:rPr>
              <w:t xml:space="preserve">1. </w:t>
            </w:r>
            <w:r w:rsidRPr="005F7C3C">
              <w:rPr>
                <w:rFonts w:eastAsia="Calibri"/>
                <w:sz w:val="22"/>
                <w:szCs w:val="22"/>
              </w:rPr>
              <w:t>W oparciu o art. 439 PZP Strony przewidują możliwość zmiany poziomu wynagrodzenia, o którym mowa w §5 ust 1 Umowy,  w związku ze zmianami cen materiałów lub kosztów związanych z realizacją przedmiotu umowy jeżeli zmiany te będą miały wpływ na koszt wykonania Umowy (dalej jako waloryzacja wynagrodzenia), z zastrzeżeniem, że:</w:t>
            </w:r>
          </w:p>
          <w:p w:rsidR="005F7C3C" w:rsidRPr="005F7C3C" w:rsidRDefault="005F7C3C" w:rsidP="005F7C3C">
            <w:pPr>
              <w:numPr>
                <w:ilvl w:val="0"/>
                <w:numId w:val="14"/>
              </w:numPr>
              <w:ind w:hanging="330"/>
              <w:contextualSpacing/>
              <w:jc w:val="both"/>
              <w:rPr>
                <w:rFonts w:eastAsia="Calibri"/>
                <w:sz w:val="22"/>
                <w:szCs w:val="22"/>
              </w:rPr>
            </w:pPr>
            <w:r w:rsidRPr="005F7C3C">
              <w:rPr>
                <w:rFonts w:eastAsia="Calibri"/>
                <w:sz w:val="22"/>
                <w:szCs w:val="22"/>
              </w:rPr>
              <w:t xml:space="preserve"> przez zmianę wysokości wynagrodzenia rozumie się jego podwyższenie;</w:t>
            </w:r>
          </w:p>
          <w:p w:rsidR="005F7C3C" w:rsidRPr="005F7C3C" w:rsidRDefault="005F7C3C" w:rsidP="005F7C3C">
            <w:pPr>
              <w:numPr>
                <w:ilvl w:val="0"/>
                <w:numId w:val="14"/>
              </w:numPr>
              <w:ind w:left="456" w:hanging="284"/>
              <w:jc w:val="both"/>
              <w:rPr>
                <w:rFonts w:eastAsia="Calibri"/>
                <w:sz w:val="22"/>
                <w:szCs w:val="22"/>
              </w:rPr>
            </w:pPr>
            <w:r w:rsidRPr="005F7C3C">
              <w:rPr>
                <w:rFonts w:eastAsia="Calibri"/>
                <w:sz w:val="22"/>
                <w:szCs w:val="22"/>
              </w:rPr>
              <w:t xml:space="preserve"> 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5F7C3C" w:rsidRPr="005F7C3C" w:rsidRDefault="005F7C3C" w:rsidP="005F7C3C">
            <w:pPr>
              <w:numPr>
                <w:ilvl w:val="0"/>
                <w:numId w:val="14"/>
              </w:numPr>
              <w:ind w:left="456" w:hanging="284"/>
              <w:contextualSpacing/>
              <w:jc w:val="both"/>
              <w:rPr>
                <w:rFonts w:eastAsia="Calibri"/>
                <w:sz w:val="22"/>
                <w:szCs w:val="22"/>
              </w:rPr>
            </w:pPr>
            <w:r w:rsidRPr="005F7C3C">
              <w:rPr>
                <w:rFonts w:eastAsia="Calibri"/>
                <w:sz w:val="22"/>
                <w:szCs w:val="22"/>
              </w:rPr>
              <w:t xml:space="preserve"> pierwsza waloryzacja wynagrodzenia Sprzedawcy w oparciu o wskaźnik podany w lit. b)  może zostać dokonana po upływie 6 pełnych miesięcy obowiązywania umowy, </w:t>
            </w:r>
          </w:p>
          <w:p w:rsidR="005F7C3C" w:rsidRPr="005F7C3C" w:rsidRDefault="005F7C3C" w:rsidP="005F7C3C">
            <w:pPr>
              <w:numPr>
                <w:ilvl w:val="0"/>
                <w:numId w:val="14"/>
              </w:numPr>
              <w:ind w:left="456" w:hanging="284"/>
              <w:contextualSpacing/>
              <w:jc w:val="both"/>
              <w:rPr>
                <w:rFonts w:eastAsia="Calibri"/>
                <w:sz w:val="22"/>
                <w:szCs w:val="22"/>
              </w:rPr>
            </w:pPr>
            <w:r w:rsidRPr="005F7C3C">
              <w:rPr>
                <w:rFonts w:eastAsia="Calibri"/>
                <w:sz w:val="22"/>
                <w:szCs w:val="22"/>
              </w:rPr>
              <w:t xml:space="preserve"> podstawą do wystąpienia o zmianę wysokości wynagrodzenia jest zmiana miesięcznego wskaźnika cen towarów i usług konsumpcyjnych, o którym mowa w lit. b), w stosunku do analogicznego miesiąca roku poprzedniego o więcej niż 5% punktów procentowych,</w:t>
            </w:r>
          </w:p>
          <w:p w:rsidR="005F7C3C" w:rsidRPr="005F7C3C" w:rsidRDefault="005F7C3C" w:rsidP="005F7C3C">
            <w:pPr>
              <w:numPr>
                <w:ilvl w:val="0"/>
                <w:numId w:val="14"/>
              </w:numPr>
              <w:ind w:left="314" w:hanging="188"/>
              <w:contextualSpacing/>
              <w:jc w:val="both"/>
              <w:rPr>
                <w:rFonts w:eastAsia="Calibri"/>
                <w:sz w:val="22"/>
                <w:szCs w:val="22"/>
              </w:rPr>
            </w:pPr>
            <w:r w:rsidRPr="005F7C3C">
              <w:rPr>
                <w:rFonts w:eastAsia="Calibri"/>
                <w:sz w:val="22"/>
                <w:szCs w:val="22"/>
              </w:rPr>
              <w:t xml:space="preserve"> wynagrodzenie będzie podlegało waloryzacji maksymalnie łącznie do 5 % wysokości wynagrodzenia Sprzedawcy wskazanego w ofercie i nie częściej niż co 6 miesięcy</w:t>
            </w:r>
          </w:p>
          <w:p w:rsidR="005F7C3C" w:rsidRPr="005F7C3C" w:rsidRDefault="005F7C3C" w:rsidP="00852ED4">
            <w:pPr>
              <w:numPr>
                <w:ilvl w:val="0"/>
                <w:numId w:val="17"/>
              </w:numPr>
              <w:contextualSpacing/>
              <w:jc w:val="both"/>
              <w:rPr>
                <w:rFonts w:eastAsia="Calibri"/>
                <w:sz w:val="22"/>
                <w:szCs w:val="22"/>
              </w:rPr>
            </w:pPr>
            <w:r w:rsidRPr="005F7C3C">
              <w:rPr>
                <w:rFonts w:eastAsia="Calibri"/>
                <w:sz w:val="22"/>
                <w:szCs w:val="22"/>
              </w:rPr>
              <w:t xml:space="preserve"> Zmiana wynagrodzenia, może zostać wprowadzona na wniosek Stron, zgodnie z poniższymi zasadami:</w:t>
            </w:r>
          </w:p>
          <w:p w:rsidR="005F7C3C" w:rsidRPr="005F7C3C" w:rsidRDefault="005F7C3C" w:rsidP="005F7C3C">
            <w:pPr>
              <w:numPr>
                <w:ilvl w:val="0"/>
                <w:numId w:val="16"/>
              </w:numPr>
              <w:contextualSpacing/>
              <w:jc w:val="both"/>
              <w:rPr>
                <w:rFonts w:eastAsia="Calibri"/>
                <w:sz w:val="22"/>
                <w:szCs w:val="22"/>
              </w:rPr>
            </w:pPr>
            <w:r w:rsidRPr="005F7C3C">
              <w:rPr>
                <w:rFonts w:eastAsia="Calibri"/>
                <w:sz w:val="22"/>
                <w:szCs w:val="22"/>
              </w:rPr>
              <w:t xml:space="preserve"> waloryzacja wynagrodzenia Sprzedawcy nie będzie dotyczyła zrealizowanej lub zleconej do realizacji zgodnie z mechanizmem umowy określonym w </w:t>
            </w:r>
            <w:r w:rsidRPr="005F7C3C">
              <w:rPr>
                <w:sz w:val="22"/>
                <w:szCs w:val="22"/>
              </w:rPr>
              <w:t>§ 5 umowy</w:t>
            </w:r>
            <w:r w:rsidRPr="005F7C3C">
              <w:rPr>
                <w:rFonts w:eastAsia="Calibri"/>
                <w:sz w:val="22"/>
                <w:szCs w:val="22"/>
              </w:rPr>
              <w:t xml:space="preserve"> części zamówienia, </w:t>
            </w:r>
          </w:p>
          <w:p w:rsidR="005F7C3C" w:rsidRDefault="00852ED4" w:rsidP="005F7C3C">
            <w:pPr>
              <w:ind w:left="314" w:hanging="284"/>
              <w:contextualSpacing/>
              <w:jc w:val="both"/>
              <w:rPr>
                <w:rFonts w:eastAsia="SimSun"/>
                <w:color w:val="000000"/>
                <w:sz w:val="22"/>
                <w:szCs w:val="22"/>
              </w:rPr>
            </w:pPr>
            <w:r>
              <w:rPr>
                <w:rFonts w:eastAsia="Calibri"/>
                <w:sz w:val="22"/>
                <w:szCs w:val="22"/>
              </w:rPr>
              <w:t>3</w:t>
            </w:r>
            <w:r w:rsidR="005F7C3C" w:rsidRPr="005F7C3C">
              <w:rPr>
                <w:rFonts w:eastAsia="Calibri"/>
                <w:sz w:val="22"/>
                <w:szCs w:val="22"/>
              </w:rPr>
              <w:t>.</w:t>
            </w:r>
            <w:r w:rsidR="005F7C3C" w:rsidRPr="005F7C3C">
              <w:rPr>
                <w:rFonts w:eastAsia="Calibri"/>
                <w:sz w:val="22"/>
                <w:szCs w:val="22"/>
              </w:rPr>
              <w:t xml:space="preserve"> Sprzedawca, którego wynagrodzenie zostało zmienione zgodnie z § 11 zobowiązuje się do zmiany wynagrodzenia przysługującego podwykonawcy, z którym zawarł umowę, w zakresie odpowiadającym zmianom cen materiałów lub kosztów dotyczących zobowiązania podwykonawcy (dotyczy sytuacji, w której w ofercie wskazano podwykonawcę).</w:t>
            </w:r>
            <w:r w:rsidR="005F7C3C" w:rsidRPr="005F7C3C">
              <w:rPr>
                <w:rFonts w:eastAsia="SimSun"/>
                <w:color w:val="000000"/>
                <w:sz w:val="22"/>
                <w:szCs w:val="22"/>
              </w:rPr>
              <w:t xml:space="preserve">            </w:t>
            </w:r>
          </w:p>
          <w:p w:rsidR="00852ED4" w:rsidRDefault="00852ED4" w:rsidP="005F7C3C">
            <w:pPr>
              <w:ind w:left="314" w:hanging="284"/>
              <w:contextualSpacing/>
              <w:jc w:val="both"/>
              <w:rPr>
                <w:rFonts w:eastAsia="SimSun"/>
                <w:color w:val="000000"/>
                <w:sz w:val="22"/>
                <w:szCs w:val="22"/>
              </w:rPr>
            </w:pPr>
          </w:p>
          <w:p w:rsidR="00852ED4" w:rsidRPr="00852ED4" w:rsidRDefault="00852ED4" w:rsidP="005F7C3C">
            <w:pPr>
              <w:ind w:left="314" w:hanging="284"/>
              <w:contextualSpacing/>
              <w:jc w:val="both"/>
              <w:rPr>
                <w:rFonts w:eastAsia="SimSun"/>
                <w:i/>
                <w:color w:val="000000"/>
                <w:sz w:val="22"/>
                <w:szCs w:val="22"/>
              </w:rPr>
            </w:pPr>
            <w:r w:rsidRPr="00852ED4">
              <w:rPr>
                <w:rFonts w:eastAsia="SimSun"/>
                <w:i/>
                <w:color w:val="000000"/>
                <w:sz w:val="22"/>
                <w:szCs w:val="22"/>
              </w:rPr>
              <w:t>Zamawiający wprowadza nowy wzór umowy.</w:t>
            </w:r>
          </w:p>
          <w:p w:rsidR="00852ED4" w:rsidRPr="005F7C3C" w:rsidRDefault="00852ED4" w:rsidP="005F7C3C">
            <w:pPr>
              <w:ind w:left="314" w:hanging="284"/>
              <w:contextualSpacing/>
              <w:jc w:val="both"/>
              <w:rPr>
                <w:rFonts w:eastAsia="SimSun"/>
                <w:color w:val="000000"/>
                <w:sz w:val="22"/>
                <w:szCs w:val="22"/>
              </w:rPr>
            </w:pPr>
          </w:p>
          <w:p w:rsidR="005F7C3C" w:rsidRPr="005F7C3C" w:rsidRDefault="005F7C3C" w:rsidP="005F7C3C">
            <w:pPr>
              <w:spacing w:after="60"/>
              <w:ind w:left="30" w:right="-72"/>
              <w:jc w:val="both"/>
              <w:rPr>
                <w:sz w:val="22"/>
                <w:szCs w:val="22"/>
                <w:highlight w:val="darkGray"/>
              </w:rPr>
            </w:pPr>
          </w:p>
        </w:tc>
      </w:tr>
    </w:tbl>
    <w:p w:rsidR="00BE7BFD" w:rsidRPr="005F7C3C" w:rsidRDefault="00BE7BFD" w:rsidP="005F7C3C">
      <w:pPr>
        <w:jc w:val="both"/>
        <w:rPr>
          <w:sz w:val="22"/>
          <w:szCs w:val="22"/>
        </w:rPr>
      </w:pPr>
    </w:p>
    <w:sectPr w:rsidR="00BE7BFD" w:rsidRPr="005F7C3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258" w:rsidRDefault="003D2258">
      <w:r>
        <w:separator/>
      </w:r>
    </w:p>
  </w:endnote>
  <w:endnote w:type="continuationSeparator" w:id="0">
    <w:p w:rsidR="003D2258" w:rsidRDefault="003D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258" w:rsidRDefault="003D2258">
      <w:r>
        <w:separator/>
      </w:r>
    </w:p>
  </w:footnote>
  <w:footnote w:type="continuationSeparator" w:id="0">
    <w:p w:rsidR="003D2258" w:rsidRDefault="003D2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19A" w:rsidRDefault="00C611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19A" w:rsidRDefault="00C611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19A" w:rsidRDefault="00C611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E2653"/>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1BC219DE"/>
    <w:multiLevelType w:val="hybridMultilevel"/>
    <w:tmpl w:val="2F5C670E"/>
    <w:lvl w:ilvl="0" w:tplc="04150017">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B161AB1"/>
    <w:multiLevelType w:val="hybridMultilevel"/>
    <w:tmpl w:val="38A0AC8A"/>
    <w:lvl w:ilvl="0" w:tplc="B3F65E3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55863E4F"/>
    <w:multiLevelType w:val="hybridMultilevel"/>
    <w:tmpl w:val="2F5C670E"/>
    <w:lvl w:ilvl="0" w:tplc="04150017">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0"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13"/>
  </w:num>
  <w:num w:numId="3">
    <w:abstractNumId w:val="5"/>
  </w:num>
  <w:num w:numId="4">
    <w:abstractNumId w:val="12"/>
  </w:num>
  <w:num w:numId="5">
    <w:abstractNumId w:val="2"/>
  </w:num>
  <w:num w:numId="6">
    <w:abstractNumId w:val="4"/>
  </w:num>
  <w:num w:numId="7">
    <w:abstractNumId w:val="1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258"/>
    <w:rsid w:val="00031374"/>
    <w:rsid w:val="000A1097"/>
    <w:rsid w:val="000E2A8F"/>
    <w:rsid w:val="0012774F"/>
    <w:rsid w:val="00144B7A"/>
    <w:rsid w:val="00180C6E"/>
    <w:rsid w:val="001D75AC"/>
    <w:rsid w:val="0029606A"/>
    <w:rsid w:val="003D2258"/>
    <w:rsid w:val="004848F3"/>
    <w:rsid w:val="004A75F2"/>
    <w:rsid w:val="005144A9"/>
    <w:rsid w:val="00520165"/>
    <w:rsid w:val="005B1B08"/>
    <w:rsid w:val="005F7C3C"/>
    <w:rsid w:val="0062512C"/>
    <w:rsid w:val="00632C3C"/>
    <w:rsid w:val="00662BDB"/>
    <w:rsid w:val="006A5DF1"/>
    <w:rsid w:val="006B7198"/>
    <w:rsid w:val="006D4AB3"/>
    <w:rsid w:val="006E07E6"/>
    <w:rsid w:val="006F3B81"/>
    <w:rsid w:val="007D7198"/>
    <w:rsid w:val="008048F4"/>
    <w:rsid w:val="00852ED4"/>
    <w:rsid w:val="00870F9F"/>
    <w:rsid w:val="008804B6"/>
    <w:rsid w:val="00897AB0"/>
    <w:rsid w:val="008A3553"/>
    <w:rsid w:val="00947A50"/>
    <w:rsid w:val="009B3429"/>
    <w:rsid w:val="00A905AC"/>
    <w:rsid w:val="00BA6584"/>
    <w:rsid w:val="00BB55D0"/>
    <w:rsid w:val="00BE7BFD"/>
    <w:rsid w:val="00C370F2"/>
    <w:rsid w:val="00C44EEC"/>
    <w:rsid w:val="00C6119A"/>
    <w:rsid w:val="00CF0649"/>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FD7DE6F"/>
  <w15:chartTrackingRefBased/>
  <w15:docId w15:val="{B8C2DD5D-49E6-476D-A0FF-5E3620739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73207478">
      <w:bodyDiv w:val="1"/>
      <w:marLeft w:val="0"/>
      <w:marRight w:val="0"/>
      <w:marTop w:val="0"/>
      <w:marBottom w:val="0"/>
      <w:divBdr>
        <w:top w:val="none" w:sz="0" w:space="0" w:color="auto"/>
        <w:left w:val="none" w:sz="0" w:space="0" w:color="auto"/>
        <w:bottom w:val="none" w:sz="0" w:space="0" w:color="auto"/>
        <w:right w:val="none" w:sz="0" w:space="0" w:color="auto"/>
      </w:divBdr>
    </w:div>
    <w:div w:id="210757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TotalTime>
  <Pages>2</Pages>
  <Words>926</Words>
  <Characters>6043</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5</cp:revision>
  <cp:lastPrinted>2001-02-10T14:28:00Z</cp:lastPrinted>
  <dcterms:created xsi:type="dcterms:W3CDTF">2023-07-26T09:26:00Z</dcterms:created>
  <dcterms:modified xsi:type="dcterms:W3CDTF">2023-07-26T09:51:00Z</dcterms:modified>
</cp:coreProperties>
</file>