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C43C12">
                  <w:pPr>
                    <w:pStyle w:val="Nagwek1"/>
                    <w:spacing w:after="120" w:line="276" w:lineRule="auto"/>
                    <w:ind w:left="113" w:right="113"/>
                    <w:rPr>
                      <w:rFonts w:ascii="Verdana" w:hAnsi="Verdana"/>
                      <w:sz w:val="20"/>
                      <w:lang w:val="en-GB"/>
                    </w:rPr>
                  </w:pPr>
                  <w:bookmarkStart w:id="0" w:name="_GoBack"/>
                  <w:bookmarkEnd w:id="0"/>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Default="00846D40" w:rsidP="00BB1EA1">
                  <w:pPr>
                    <w:spacing w:line="276" w:lineRule="auto"/>
                    <w:ind w:left="113" w:right="113"/>
                    <w:rPr>
                      <w:rFonts w:ascii="Verdana" w:hAnsi="Verdana"/>
                      <w:i/>
                      <w:sz w:val="18"/>
                      <w:szCs w:val="18"/>
                      <w:lang w:val="en-GB"/>
                    </w:rPr>
                  </w:pPr>
                  <w:r w:rsidRPr="00846D40">
                    <w:rPr>
                      <w:rFonts w:ascii="Verdana" w:hAnsi="Verdana"/>
                      <w:i/>
                      <w:sz w:val="20"/>
                      <w:szCs w:val="20"/>
                      <w:lang w:val="en-GB"/>
                    </w:rPr>
                    <w:t xml:space="preserve">pursuant to of the Act on Public Procurement (Dz. U./Polish Journal of Laws of </w:t>
                  </w:r>
                  <w:r w:rsidR="00BB1EA1">
                    <w:rPr>
                      <w:rFonts w:ascii="Verdana" w:hAnsi="Verdana"/>
                      <w:i/>
                      <w:sz w:val="20"/>
                      <w:szCs w:val="20"/>
                      <w:lang w:val="en-GB"/>
                    </w:rPr>
                    <w:t>2024y</w:t>
                  </w:r>
                  <w:r w:rsidRPr="00846D40">
                    <w:rPr>
                      <w:rFonts w:ascii="Verdana" w:hAnsi="Verdana"/>
                      <w:i/>
                      <w:sz w:val="20"/>
                      <w:szCs w:val="20"/>
                      <w:lang w:val="en-GB"/>
                    </w:rPr>
                    <w:t xml:space="preserve"> item </w:t>
                  </w:r>
                  <w:r w:rsidR="00BB1EA1">
                    <w:rPr>
                      <w:rFonts w:ascii="Verdana" w:hAnsi="Verdana"/>
                      <w:i/>
                      <w:sz w:val="20"/>
                      <w:szCs w:val="20"/>
                      <w:lang w:val="en-GB"/>
                    </w:rPr>
                    <w:t>1320</w:t>
                  </w:r>
                  <w:r w:rsidRPr="00846D40">
                    <w:rPr>
                      <w:rFonts w:ascii="Verdana" w:hAnsi="Verdana"/>
                      <w:i/>
                      <w:sz w:val="20"/>
                      <w:szCs w:val="20"/>
                      <w:lang w:val="en-GB"/>
                    </w:rPr>
                    <w:t xml:space="preserve">, as amended) </w:t>
                  </w:r>
                </w:p>
                <w:p w:rsidR="00846D40" w:rsidRPr="00846D40" w:rsidRDefault="00846D40" w:rsidP="00846D40">
                  <w:pPr>
                    <w:spacing w:line="276" w:lineRule="auto"/>
                    <w:ind w:left="113" w:right="113"/>
                    <w:rPr>
                      <w:rFonts w:ascii="Verdana" w:hAnsi="Verdana"/>
                      <w:sz w:val="20"/>
                      <w:szCs w:val="20"/>
                      <w:lang w:val="en-GB"/>
                    </w:rPr>
                  </w:pP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(Dz. U. z </w:t>
                  </w:r>
                  <w:r w:rsidR="00BB1EA1">
                    <w:rPr>
                      <w:rFonts w:ascii="Verdana" w:hAnsi="Verdana"/>
                      <w:i/>
                      <w:sz w:val="20"/>
                      <w:szCs w:val="20"/>
                    </w:rPr>
                    <w:t>2024r.</w:t>
                  </w:r>
                  <w:r w:rsidR="0038618F">
                    <w:rPr>
                      <w:rFonts w:ascii="Verdana" w:hAnsi="Verdana"/>
                      <w:i/>
                      <w:sz w:val="20"/>
                      <w:szCs w:val="20"/>
                    </w:rPr>
                    <w:t xml:space="preserve"> </w:t>
                  </w:r>
                  <w:r w:rsidRPr="00846D40">
                    <w:rPr>
                      <w:rFonts w:ascii="Verdana" w:hAnsi="Verdana"/>
                      <w:i/>
                      <w:sz w:val="20"/>
                      <w:szCs w:val="20"/>
                    </w:rPr>
                    <w:t xml:space="preserve"> poz.</w:t>
                  </w:r>
                  <w:r w:rsidR="00BB1EA1">
                    <w:rPr>
                      <w:rFonts w:ascii="Verdana" w:hAnsi="Verdana"/>
                      <w:i/>
                      <w:sz w:val="20"/>
                      <w:szCs w:val="20"/>
                    </w:rPr>
                    <w:t xml:space="preserve"> 1320</w:t>
                  </w:r>
                  <w:r w:rsidRPr="00846D40">
                    <w:rPr>
                      <w:rFonts w:ascii="Verdana" w:hAnsi="Verdana"/>
                      <w:i/>
                      <w:sz w:val="20"/>
                      <w:szCs w:val="20"/>
                    </w:rPr>
                    <w:t xml:space="preserve"> z późn.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Mickiewicza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r w:rsidRPr="00846D40">
                    <w:rPr>
                      <w:rFonts w:ascii="Verdana" w:hAnsi="Verdana"/>
                      <w:sz w:val="20"/>
                      <w:szCs w:val="20"/>
                      <w:lang w:val="en-US"/>
                    </w:rPr>
                    <w:t xml:space="preserve">zwanym dalej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lastRenderedPageBreak/>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lastRenderedPageBreak/>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lastRenderedPageBreak/>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(Incoterms 2010 ---</w:t>
                  </w:r>
                </w:p>
                <w:p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(Incoterms 2010) ---</w:t>
                  </w:r>
                </w:p>
                <w:p w:rsidR="00846D40" w:rsidRPr="00846D40" w:rsidRDefault="00846D40" w:rsidP="00BB1EA1">
                  <w:pPr>
                    <w:pStyle w:val="Tekstpodstawowywcity"/>
                    <w:spacing w:line="276" w:lineRule="auto"/>
                    <w:rPr>
                      <w:rFonts w:ascii="Verdana" w:hAnsi="Verdana"/>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3C7DCE" w:rsidRPr="003C7DCE" w:rsidRDefault="003C7DCE" w:rsidP="003C7DCE">
                  <w:pPr>
                    <w:spacing w:line="276" w:lineRule="auto"/>
                    <w:ind w:left="113"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lastRenderedPageBreak/>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3C7DCE" w:rsidRPr="003C7DCE" w:rsidRDefault="003C7DCE" w:rsidP="003C7DCE">
                  <w:pPr>
                    <w:rPr>
                      <w:rFonts w:ascii="Verdana" w:hAnsi="Verdana"/>
                      <w:sz w:val="20"/>
                    </w:rPr>
                  </w:pP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in case of a delay in removal of defects identified during the acceptance </w:t>
                  </w:r>
                  <w:r w:rsidRPr="00846D40">
                    <w:rPr>
                      <w:rFonts w:ascii="Verdana" w:hAnsi="Verdana"/>
                      <w:sz w:val="20"/>
                      <w:szCs w:val="20"/>
                      <w:lang w:val="en-GB"/>
                    </w:rPr>
                    <w:lastRenderedPageBreak/>
                    <w:t>procedure or in the warranty period - 0,1% of the price defined in §2 for each day of delay, counting from the 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rsidR="00F84628" w:rsidRPr="00F84628" w:rsidRDefault="00F84628" w:rsidP="00F84628">
                  <w:pPr>
                    <w:spacing w:line="276" w:lineRule="auto"/>
                    <w:ind w:left="379" w:right="113" w:hanging="425"/>
                    <w:jc w:val="both"/>
                    <w:rPr>
                      <w:rFonts w:ascii="Verdana" w:hAnsi="Verdana"/>
                      <w:sz w:val="20"/>
                      <w:szCs w:val="20"/>
                      <w:lang w:val="en-GB"/>
                    </w:rPr>
                  </w:pPr>
                  <w:r>
                    <w:rPr>
                      <w:rFonts w:ascii="Verdana" w:hAnsi="Verdana"/>
                      <w:sz w:val="20"/>
                      <w:szCs w:val="20"/>
                      <w:lang w:val="en-GB"/>
                    </w:rPr>
                    <w:t xml:space="preserve">3. </w:t>
                  </w:r>
                  <w:r w:rsidRPr="00F84628">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w:t>
                  </w:r>
                </w:p>
                <w:p w:rsidR="00F84628" w:rsidRPr="00F84628" w:rsidRDefault="00F84628" w:rsidP="00F84628">
                  <w:pPr>
                    <w:pStyle w:val="Akapitzlist"/>
                    <w:spacing w:line="276" w:lineRule="auto"/>
                    <w:ind w:left="360" w:right="113" w:hanging="406"/>
                    <w:jc w:val="both"/>
                    <w:rPr>
                      <w:rFonts w:ascii="Verdana" w:hAnsi="Verdana"/>
                      <w:sz w:val="20"/>
                      <w:szCs w:val="20"/>
                      <w:lang w:val="en-GB"/>
                    </w:rPr>
                  </w:pPr>
                  <w:r>
                    <w:rPr>
                      <w:rFonts w:ascii="Verdana" w:hAnsi="Verdana"/>
                      <w:sz w:val="20"/>
                      <w:szCs w:val="20"/>
                      <w:lang w:val="en-GB"/>
                    </w:rPr>
                    <w:t xml:space="preserve">4. </w:t>
                  </w:r>
                  <w:r w:rsidRPr="00F84628">
                    <w:rPr>
                      <w:rFonts w:ascii="Verdana" w:hAnsi="Verdana"/>
                      <w:sz w:val="20"/>
                      <w:szCs w:val="20"/>
                      <w:lang w:val="en-GB"/>
                    </w:rPr>
                    <w:t>The total maximum amount of contractual penalties that may be claimed by the Parties may not exceed 20% of the net remuneration referred to in § 2 section 1 of the contract.</w:t>
                  </w:r>
                </w:p>
                <w:p w:rsidR="00F84628" w:rsidRDefault="00F84628" w:rsidP="00F84628">
                  <w:pPr>
                    <w:pStyle w:val="Akapitzlist"/>
                    <w:spacing w:line="276" w:lineRule="auto"/>
                    <w:ind w:left="334" w:right="113"/>
                    <w:jc w:val="both"/>
                    <w:rPr>
                      <w:rFonts w:ascii="Verdana" w:hAnsi="Verdana"/>
                      <w:sz w:val="20"/>
                      <w:szCs w:val="20"/>
                      <w:lang w:val="en-GB"/>
                    </w:rPr>
                  </w:pPr>
                </w:p>
                <w:p w:rsidR="00EF6260" w:rsidRDefault="00EF6260" w:rsidP="00EF6260">
                  <w:pPr>
                    <w:pStyle w:val="Akapitzlist"/>
                    <w:spacing w:line="276" w:lineRule="auto"/>
                    <w:ind w:left="334" w:right="113"/>
                    <w:jc w:val="both"/>
                    <w:rPr>
                      <w:rFonts w:ascii="Verdana" w:hAnsi="Verdana"/>
                      <w:sz w:val="20"/>
                      <w:szCs w:val="20"/>
                      <w:lang w:val="en-GB"/>
                    </w:rPr>
                  </w:pPr>
                </w:p>
                <w:p w:rsidR="00F84628" w:rsidRDefault="00F84628" w:rsidP="00EF6260">
                  <w:pPr>
                    <w:pStyle w:val="Akapitzlist"/>
                    <w:spacing w:line="276" w:lineRule="auto"/>
                    <w:ind w:left="334" w:right="113"/>
                    <w:jc w:val="both"/>
                    <w:rPr>
                      <w:rFonts w:ascii="Verdana" w:hAnsi="Verdana"/>
                      <w:sz w:val="20"/>
                      <w:szCs w:val="20"/>
                      <w:lang w:val="en-GB"/>
                    </w:rPr>
                  </w:pPr>
                </w:p>
                <w:p w:rsidR="00F84628" w:rsidRPr="00846D40" w:rsidRDefault="00F84628"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 xml:space="preserve">za zwłokę w usunięciu wad stwierdzonych przy odbiorze lub </w:t>
                  </w:r>
                  <w:r w:rsidRPr="00846D40">
                    <w:rPr>
                      <w:rFonts w:ascii="Verdana" w:hAnsi="Verdana"/>
                      <w:sz w:val="20"/>
                      <w:szCs w:val="20"/>
                    </w:rPr>
                    <w:lastRenderedPageBreak/>
                    <w:t>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rsidR="009F4436" w:rsidRPr="009F4436" w:rsidRDefault="009F4436" w:rsidP="009F4436">
                  <w:pPr>
                    <w:pStyle w:val="Tekstpodstawowy"/>
                    <w:spacing w:line="276" w:lineRule="auto"/>
                    <w:ind w:left="415" w:right="113" w:hanging="415"/>
                    <w:jc w:val="both"/>
                    <w:rPr>
                      <w:rFonts w:ascii="Verdana" w:hAnsi="Verdana"/>
                      <w:sz w:val="20"/>
                    </w:rPr>
                  </w:pPr>
                  <w:r>
                    <w:rPr>
                      <w:rFonts w:ascii="Verdana" w:hAnsi="Verdana"/>
                      <w:sz w:val="20"/>
                    </w:rPr>
                    <w:t xml:space="preserve">3. </w:t>
                  </w:r>
                  <w:r w:rsidRPr="009F4436">
                    <w:rPr>
                      <w:rFonts w:ascii="Verdana" w:hAnsi="Verdana"/>
                      <w:sz w:val="20"/>
                    </w:rPr>
                    <w:t>Kupujący zapłaci Sprzedającemu karę umowną za odstąpienie od kontraktu przez którąkolwiek ze Stron z przyczyn występujących po  stronie Kupującego w wysokości 10% ceny określonej w §2.-/-</w:t>
                  </w:r>
                </w:p>
                <w:p w:rsidR="009F4436" w:rsidRPr="009F4436" w:rsidRDefault="009F4436" w:rsidP="009F4436">
                  <w:pPr>
                    <w:pStyle w:val="Tekstpodstawowy"/>
                    <w:spacing w:line="276" w:lineRule="auto"/>
                    <w:ind w:left="415" w:right="113" w:hanging="415"/>
                    <w:jc w:val="both"/>
                    <w:rPr>
                      <w:rFonts w:ascii="Verdana" w:hAnsi="Verdana"/>
                      <w:sz w:val="20"/>
                    </w:rPr>
                  </w:pPr>
                  <w:r>
                    <w:rPr>
                      <w:rFonts w:ascii="Verdana" w:hAnsi="Verdana"/>
                      <w:sz w:val="20"/>
                    </w:rPr>
                    <w:t xml:space="preserve">4. </w:t>
                  </w:r>
                  <w:r w:rsidRPr="009F4436">
                    <w:rPr>
                      <w:rFonts w:ascii="Verdana" w:hAnsi="Verdana"/>
                      <w:sz w:val="20"/>
                    </w:rPr>
                    <w:t>Łączna maksymalna wysokość kar umownych, których mogą dochodzić Strony nie może przekroczyć 20% wynagrodzenia netto, o którym mowa w § 2 ust. 1 umowy</w:t>
                  </w:r>
                </w:p>
                <w:p w:rsidR="009F4436" w:rsidRDefault="009F4436" w:rsidP="00F84628">
                  <w:pPr>
                    <w:pStyle w:val="Tekstpodstawowy"/>
                    <w:spacing w:line="276" w:lineRule="auto"/>
                    <w:ind w:left="334" w:right="113"/>
                    <w:jc w:val="both"/>
                    <w:rPr>
                      <w:rFonts w:ascii="Verdana" w:hAnsi="Verdana"/>
                      <w:sz w:val="20"/>
                    </w:rPr>
                  </w:pP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 xml:space="preserve">This contract shall be governed by the Vienna Convention of 1980 on Contracts for the International Sale of Goods, and </w:t>
                  </w:r>
                  <w:r w:rsidRPr="00846D40">
                    <w:rPr>
                      <w:rFonts w:ascii="Verdana" w:hAnsi="Verdana"/>
                      <w:sz w:val="20"/>
                      <w:lang w:val="en-GB"/>
                    </w:rPr>
                    <w:lastRenderedPageBreak/>
                    <w:t>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The Buyer is the administrator of the Seller's personal data and is authorised 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 xml:space="preserve">Umowach </w:t>
                  </w:r>
                  <w:r w:rsidRPr="002E65FD">
                    <w:rPr>
                      <w:rFonts w:ascii="Verdana" w:hAnsi="Verdana"/>
                      <w:spacing w:val="-4"/>
                      <w:sz w:val="20"/>
                    </w:rPr>
                    <w:lastRenderedPageBreak/>
                    <w:t>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55367E" w:rsidRDefault="0055367E" w:rsidP="000D27AF">
                  <w:pPr>
                    <w:spacing w:before="120" w:after="120" w:line="276" w:lineRule="auto"/>
                    <w:ind w:left="113" w:right="113"/>
                    <w:jc w:val="center"/>
                    <w:rPr>
                      <w:rFonts w:ascii="Verdana" w:hAnsi="Verdana"/>
                      <w:b/>
                      <w:sz w:val="20"/>
                      <w:szCs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846D40" w:rsidRDefault="00DE4C84" w:rsidP="0055367E">
                  <w:pPr>
                    <w:pStyle w:val="Tekstpodstawowywcity"/>
                    <w:spacing w:line="276" w:lineRule="auto"/>
                    <w:ind w:left="379" w:right="113" w:hanging="266"/>
                    <w:rPr>
                      <w:rFonts w:ascii="Verdana" w:hAnsi="Verdana"/>
                      <w:sz w:val="20"/>
                      <w:lang w:val="en-GB"/>
                    </w:rPr>
                  </w:pPr>
                  <w:r>
                    <w:rPr>
                      <w:rFonts w:ascii="Verdana" w:hAnsi="Verdana"/>
                      <w:sz w:val="20"/>
                      <w:lang w:val="en-GB"/>
                    </w:rPr>
                    <w:t xml:space="preserve">1. </w:t>
                  </w:r>
                  <w:r w:rsidR="00846D40" w:rsidRPr="00846D40">
                    <w:rPr>
                      <w:rFonts w:ascii="Verdana" w:hAnsi="Verdana"/>
                      <w:sz w:val="20"/>
                      <w:lang w:val="en-GB"/>
                    </w:rPr>
                    <w:t xml:space="preserve">Any amendments of or additions to this contract must be made in writing under pain of nullity. </w:t>
                  </w:r>
                </w:p>
                <w:p w:rsidR="00DE4C84" w:rsidRPr="00A1487F" w:rsidRDefault="00DE4C84" w:rsidP="00DE4C84">
                  <w:pPr>
                    <w:numPr>
                      <w:ilvl w:val="0"/>
                      <w:numId w:val="44"/>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rsidR="00DE4C84" w:rsidRDefault="00DE4C84" w:rsidP="00DE4C84">
                  <w:pPr>
                    <w:suppressAutoHyphens/>
                    <w:ind w:left="360"/>
                    <w:jc w:val="both"/>
                    <w:rPr>
                      <w:szCs w:val="20"/>
                      <w:lang w:val="en-US" w:eastAsia="zh-CN"/>
                    </w:rPr>
                  </w:pPr>
                  <w:r>
                    <w:rPr>
                      <w:rFonts w:ascii="Verdana" w:hAnsi="Verdana" w:cs="Verdana"/>
                      <w:sz w:val="20"/>
                      <w:szCs w:val="20"/>
                      <w:lang w:val="en-US" w:eastAsia="zh-CN"/>
                    </w:rPr>
                    <w:t xml:space="preserve"> </w:t>
                  </w:r>
                </w:p>
                <w:p w:rsidR="00DE4C84" w:rsidRDefault="00DE4C84" w:rsidP="00DE4C84">
                  <w:pPr>
                    <w:numPr>
                      <w:ilvl w:val="0"/>
                      <w:numId w:val="44"/>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rsidR="00DE4C84" w:rsidRDefault="00DE4C84" w:rsidP="00DE4C84">
                  <w:pPr>
                    <w:suppressAutoHyphens/>
                    <w:jc w:val="both"/>
                    <w:rPr>
                      <w:rFonts w:ascii="Verdana" w:hAnsi="Verdana" w:cs="Verdana"/>
                      <w:sz w:val="20"/>
                      <w:szCs w:val="20"/>
                      <w:lang w:val="en-US" w:eastAsia="zh-CN"/>
                    </w:rPr>
                  </w:pPr>
                </w:p>
                <w:p w:rsidR="00DE4C84" w:rsidRDefault="00DE4C84" w:rsidP="00DE4C84">
                  <w:pPr>
                    <w:suppressAutoHyphens/>
                    <w:jc w:val="both"/>
                    <w:rPr>
                      <w:rFonts w:ascii="Verdana" w:hAnsi="Verdana" w:cs="Verdana"/>
                      <w:sz w:val="20"/>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rsidR="00DE4C84" w:rsidRDefault="00DE4C84" w:rsidP="00DE4C84">
                  <w:pPr>
                    <w:suppressAutoHyphens/>
                    <w:ind w:left="388"/>
                    <w:jc w:val="both"/>
                    <w:rPr>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lastRenderedPageBreak/>
                    <w:t>the amount of remuneration if the rate of VAT tax is changed.</w:t>
                  </w:r>
                </w:p>
                <w:p w:rsidR="00DE4C84" w:rsidRDefault="00DE4C84" w:rsidP="00DE4C84">
                  <w:pPr>
                    <w:suppressAutoHyphens/>
                    <w:jc w:val="both"/>
                    <w:rPr>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rsidR="00DE4C84" w:rsidRDefault="00DE4C84" w:rsidP="00DE4C84">
                  <w:pPr>
                    <w:suppressAutoHyphens/>
                    <w:jc w:val="both"/>
                    <w:rPr>
                      <w:szCs w:val="20"/>
                      <w:lang w:val="en-US" w:eastAsia="zh-CN"/>
                    </w:rPr>
                  </w:pPr>
                </w:p>
                <w:p w:rsidR="00DE4C84"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rsidR="00DE4C84" w:rsidRPr="00423760"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rsidR="00DE4C84" w:rsidRDefault="00DE4C84" w:rsidP="00DE4C84">
                  <w:pPr>
                    <w:suppressAutoHyphens/>
                    <w:ind w:left="388"/>
                    <w:jc w:val="both"/>
                    <w:rPr>
                      <w:szCs w:val="20"/>
                      <w:lang w:val="en-US" w:eastAsia="zh-CN"/>
                    </w:rPr>
                  </w:pPr>
                </w:p>
                <w:p w:rsidR="00DE4C84" w:rsidRPr="0055367E"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rsidR="0055367E" w:rsidRDefault="0055367E" w:rsidP="0055367E">
                  <w:pPr>
                    <w:suppressAutoHyphens/>
                    <w:ind w:left="388"/>
                    <w:jc w:val="both"/>
                    <w:rPr>
                      <w:szCs w:val="20"/>
                      <w:lang w:val="en-US" w:eastAsia="zh-CN"/>
                    </w:rPr>
                  </w:pPr>
                </w:p>
                <w:p w:rsidR="00DE4C84" w:rsidRDefault="00DE4C84" w:rsidP="00DE4C84">
                  <w:pPr>
                    <w:pStyle w:val="Tekstpodstawowywcity"/>
                    <w:spacing w:line="276" w:lineRule="auto"/>
                    <w:ind w:left="113" w:right="113"/>
                    <w:rPr>
                      <w:rFonts w:ascii="Verdana" w:hAnsi="Verdana" w:cs="Verdana"/>
                      <w:sz w:val="20"/>
                      <w:lang w:val="en-US" w:eastAsia="zh-CN"/>
                    </w:rPr>
                  </w:pPr>
                </w:p>
                <w:p w:rsidR="00DE4C84" w:rsidRPr="00F7067A" w:rsidRDefault="00DE4C84" w:rsidP="00DE4C84">
                  <w:pPr>
                    <w:pStyle w:val="Tekstpodstawowywcity"/>
                    <w:numPr>
                      <w:ilvl w:val="0"/>
                      <w:numId w:val="44"/>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rsidR="00DE4C84" w:rsidRDefault="00DE4C84" w:rsidP="000D27AF">
                  <w:pPr>
                    <w:pStyle w:val="Tekstpodstawowywcity"/>
                    <w:spacing w:line="276" w:lineRule="auto"/>
                    <w:ind w:left="113" w:right="113"/>
                    <w:rPr>
                      <w:rFonts w:ascii="Verdana" w:hAnsi="Verdana"/>
                      <w:sz w:val="20"/>
                      <w:lang w:val="en-GB"/>
                    </w:rPr>
                  </w:pPr>
                </w:p>
                <w:p w:rsidR="00DE4C84" w:rsidRPr="00F7067A" w:rsidRDefault="00DE4C84" w:rsidP="00DE4C84">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lastRenderedPageBreak/>
                    <w:t xml:space="preserve">1. Parties provide for the possibility of change of the maximum remuneration referred to in § 2 of the Agreement as a result of changes in the prices of materials or costs connected with delivery of the subject matter of the Agreement if these changes affect the cost of performing the Agreement (hereinafter referred to as indexation of remuneration), subject to the following conditions: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423760"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 xml:space="preserve">by change of remuneration Parties understand both its increase and decrease;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for the purpose of measuring the change in costs, Parties will use the monthly Consumer Price Index published by the Central Statistical Office (GUS), laid out in the table of monthly consumer price indexes, calculated as 100 = the same month last year;</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the first indexation of the Contractor’s remuneration based on the index referred to in b) may take place after 6 full months of the Agreement, with every next indexation to be scheduled after 6 full consecutive months,</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f</w:t>
                  </w:r>
                  <w:r w:rsidRPr="00F7067A">
                    <w:rPr>
                      <w:rFonts w:ascii="Verdana" w:hAnsi="Verdana" w:cs="Verdana"/>
                      <w:sz w:val="20"/>
                      <w:szCs w:val="20"/>
                      <w:lang w:val="en-US" w:eastAsia="zh-CN"/>
                    </w:rPr>
                    <w:t>or any request for a change of remuneration to be possible, the monthly Consumer Price Index referred to in b) must change by more that 4% percentage point year to year in a given month,</w:t>
                  </w:r>
                </w:p>
                <w:p w:rsidR="00DE4C84" w:rsidRDefault="00DE4C84" w:rsidP="00DE4C84">
                  <w:pPr>
                    <w:pStyle w:val="Akapitzlist"/>
                    <w:rPr>
                      <w:rFonts w:ascii="Verdana" w:hAnsi="Verdana" w:cs="Verdana"/>
                      <w:sz w:val="20"/>
                      <w:szCs w:val="20"/>
                      <w:lang w:val="en-US" w:eastAsia="zh-CN"/>
                    </w:rPr>
                  </w:pPr>
                </w:p>
                <w:p w:rsidR="00DE4C84" w:rsidRPr="00F7067A" w:rsidRDefault="00DE4C84" w:rsidP="00DE4C84">
                  <w:pPr>
                    <w:tabs>
                      <w:tab w:val="left" w:pos="360"/>
                    </w:tabs>
                    <w:suppressAutoHyphens/>
                    <w:ind w:left="388"/>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the maximum total change of remuneration resulting from the application of the provisions regarding indexation as described above must not be higher than 5% of the Contractor’s remuneration as stated in § 2 of this Agreement. </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553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79" w:hanging="379"/>
                    <w:jc w:val="both"/>
                    <w:rPr>
                      <w:rFonts w:ascii="Verdana" w:hAnsi="Verdana" w:cs="Verdana"/>
                      <w:sz w:val="20"/>
                      <w:szCs w:val="20"/>
                      <w:lang w:val="en-US" w:eastAsia="zh-CN"/>
                    </w:rPr>
                  </w:pPr>
                  <w:r w:rsidRPr="00F7067A">
                    <w:rPr>
                      <w:rFonts w:ascii="Verdana" w:hAnsi="Verdana" w:cs="Verdana"/>
                      <w:sz w:val="20"/>
                      <w:szCs w:val="20"/>
                      <w:lang w:val="en-US" w:eastAsia="zh-CN"/>
                    </w:rPr>
                    <w:t xml:space="preserve">2. Change of remuneration may take place at the request of the Parties, subject to the following conditions: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I</w:t>
                  </w:r>
                  <w:r w:rsidRPr="00F7067A">
                    <w:rPr>
                      <w:rFonts w:ascii="Verdana" w:hAnsi="Verdana" w:cs="Verdana"/>
                      <w:sz w:val="20"/>
                      <w:szCs w:val="20"/>
                      <w:lang w:val="en-US" w:eastAsia="zh-CN"/>
                    </w:rPr>
                    <w:t>ndexation of the Contractor’s remuneration will apply exclusively to the part of the Agreement which has not yet been performed.</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T</w:t>
                  </w:r>
                  <w:r w:rsidRPr="00F7067A">
                    <w:rPr>
                      <w:rFonts w:ascii="Verdana" w:hAnsi="Verdana" w:cs="Verdana"/>
                      <w:sz w:val="20"/>
                      <w:szCs w:val="20"/>
                      <w:lang w:val="en-US" w:eastAsia="zh-CN"/>
                    </w:rPr>
                    <w:t>he Contractor will indicate the percentage value of a remuneration increase equal to or lower than the agreed indexation rate together with calculations illustrating the extent to which the change in the prices of materials or costs affected the increase in the costs of the performance of the Agreement.</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If the Contractor demonstrates that the change in the prices of materials or costs of performing the Agreement are lower than the indexation rate stated in (1b), the remuneration shall be adjusted to the amount requested.</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t xml:space="preserve"> </w:t>
                  </w: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If the Contractor demonstrates that the change in the prices of materials or costs of performing the Agreement are higher than the indexation rate stated in (1b) the remuneration shall be adjusted to the maximum indexation rate. </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If a request is submitted by the Contractor, the Ordering Party will, within 14 days of submitting the request, consider it and decide as to whether the change of the remuneration will be authorised or not, stating the grounds for their decision. The Ordering Party may also request further clarifications or supplementary documents. For the change to take effect it will be necessary to demonstrate the factual impact of the change in the prices of materials or costs connected with performance of the Agreement on the costs of delivery of the subject matter of the Agreement. </w:t>
                  </w:r>
                </w:p>
                <w:p w:rsidR="00DE4C84" w:rsidRPr="00F7067A" w:rsidRDefault="00DE4C84" w:rsidP="00DE4C84">
                  <w:pPr>
                    <w:tabs>
                      <w:tab w:val="left" w:pos="360"/>
                    </w:tabs>
                    <w:suppressAutoHyphens/>
                    <w:ind w:left="388"/>
                    <w:jc w:val="both"/>
                    <w:rPr>
                      <w:rFonts w:ascii="Verdana" w:hAnsi="Verdana" w:cs="Verdana"/>
                      <w:sz w:val="20"/>
                      <w:szCs w:val="20"/>
                      <w:lang w:val="en-US" w:eastAsia="zh-CN"/>
                    </w:rPr>
                  </w:pPr>
                </w:p>
                <w:p w:rsidR="00DE4C84"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If a request is submitted by the Ordering Party, the Ordering Party will indicate the percentage value of a remuneration decrease equal to or lower than the agreed indexation rate. The Contractor will, within 14 days of submitting the request, consider it and decide as to whether the change of the remuneration will be authorised or not, stating grounds for their decision.</w:t>
                  </w:r>
                </w:p>
                <w:p w:rsidR="00DE4C84" w:rsidRPr="00423760" w:rsidRDefault="00DE4C84" w:rsidP="00DE4C84">
                  <w:pPr>
                    <w:tabs>
                      <w:tab w:val="left" w:pos="360"/>
                    </w:tabs>
                    <w:suppressAutoHyphens/>
                    <w:ind w:left="388"/>
                    <w:jc w:val="both"/>
                    <w:rPr>
                      <w:rFonts w:ascii="Verdana" w:hAnsi="Verdana" w:cs="Verdana"/>
                      <w:sz w:val="20"/>
                      <w:szCs w:val="20"/>
                      <w:lang w:val="en-US" w:eastAsia="zh-CN"/>
                    </w:rPr>
                  </w:pPr>
                </w:p>
                <w:p w:rsidR="00846D40" w:rsidRPr="00846D40" w:rsidRDefault="00DE4C84" w:rsidP="0055367E">
                  <w:pPr>
                    <w:pStyle w:val="Tekstpodstawowywcity"/>
                    <w:spacing w:after="120" w:line="276" w:lineRule="auto"/>
                    <w:ind w:left="379" w:right="113" w:hanging="266"/>
                    <w:rPr>
                      <w:rFonts w:ascii="Verdana" w:hAnsi="Verdana"/>
                      <w:sz w:val="20"/>
                      <w:lang w:val="en-GB"/>
                    </w:rPr>
                  </w:pPr>
                  <w:r>
                    <w:rPr>
                      <w:rFonts w:ascii="Verdana" w:hAnsi="Verdana"/>
                      <w:sz w:val="20"/>
                      <w:lang w:val="en-GB"/>
                    </w:rPr>
                    <w:lastRenderedPageBreak/>
                    <w:t xml:space="preserve">3. </w:t>
                  </w:r>
                  <w:r w:rsidRPr="00490E99">
                    <w:rPr>
                      <w:rFonts w:ascii="Verdana" w:hAnsi="Verdana"/>
                      <w:sz w:val="20"/>
                      <w:lang w:val="en-GB"/>
                    </w:rPr>
                    <w:t>The contractor whose remuneration has been changed in accordance with § 15. undertakes to change the subcontractor</w:t>
                  </w:r>
                  <w:r>
                    <w:rPr>
                      <w:rFonts w:ascii="Verdana" w:hAnsi="Verdana"/>
                      <w:sz w:val="20"/>
                      <w:lang w:val="en-GB"/>
                    </w:rPr>
                    <w:t xml:space="preserve">`s </w:t>
                  </w:r>
                  <w:r w:rsidRPr="00490E99">
                    <w:rPr>
                      <w:rFonts w:ascii="Verdana" w:hAnsi="Verdana"/>
                      <w:sz w:val="20"/>
                      <w:lang w:val="en-GB"/>
                    </w:rPr>
                    <w:t xml:space="preserve">remuneration with whom he concluded the contract to the extent corresponding to changes in the prices of materials or costs related to the subcontractor's obligation (applies to the situation where the subcontractor </w:t>
                  </w:r>
                  <w:r>
                    <w:rPr>
                      <w:rFonts w:ascii="Verdana" w:hAnsi="Verdana"/>
                      <w:sz w:val="20"/>
                      <w:lang w:val="en-GB"/>
                    </w:rPr>
                    <w:t>was</w:t>
                  </w:r>
                  <w:r w:rsidRPr="00490E99">
                    <w:rPr>
                      <w:rFonts w:ascii="Verdana" w:hAnsi="Verdana"/>
                      <w:sz w:val="20"/>
                      <w:lang w:val="en-GB"/>
                    </w:rPr>
                    <w:t xml:space="preserve"> indicated in the </w:t>
                  </w:r>
                  <w:r>
                    <w:rPr>
                      <w:rFonts w:ascii="Verdana" w:hAnsi="Verdana"/>
                      <w:sz w:val="20"/>
                      <w:lang w:val="en-GB"/>
                    </w:rPr>
                    <w:t>tender form</w:t>
                  </w:r>
                  <w:r w:rsidRPr="00490E99">
                    <w:rPr>
                      <w:rFonts w:ascii="Verdana" w:hAnsi="Verdana"/>
                      <w:sz w:val="20"/>
                      <w:lang w:val="en-GB"/>
                    </w:rPr>
                    <w:t>)</w:t>
                  </w:r>
                  <w:r>
                    <w:rPr>
                      <w:rFonts w:ascii="Verdana" w:hAnsi="Verdana"/>
                      <w:sz w:val="20"/>
                      <w:lang w:val="en-GB"/>
                    </w:rPr>
                    <w:t>.</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5367E">
                    <w:rPr>
                      <w:rFonts w:ascii="Verdana" w:hAnsi="Verdana"/>
                      <w:b/>
                      <w:sz w:val="20"/>
                      <w:szCs w:val="20"/>
                      <w:lang w:val="en-GB"/>
                    </w:rPr>
                    <w:t>6</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Default="000D27AF" w:rsidP="000D27AF">
                  <w:pPr>
                    <w:pStyle w:val="Tekstpodstawowywcity"/>
                    <w:spacing w:line="276" w:lineRule="auto"/>
                    <w:ind w:left="334" w:right="113"/>
                    <w:rPr>
                      <w:rFonts w:ascii="Verdana" w:hAnsi="Verdana"/>
                      <w:sz w:val="20"/>
                      <w:lang w:val="en-GB"/>
                    </w:rPr>
                  </w:pP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846D40" w:rsidRDefault="00DE4C84" w:rsidP="00C43C12">
                  <w:pPr>
                    <w:pStyle w:val="Tekstpodstawowywcity"/>
                    <w:spacing w:after="120" w:line="276" w:lineRule="auto"/>
                    <w:ind w:left="113" w:right="113"/>
                    <w:rPr>
                      <w:rFonts w:ascii="Verdana" w:hAnsi="Verdana"/>
                      <w:sz w:val="20"/>
                    </w:rPr>
                  </w:pPr>
                  <w:r>
                    <w:rPr>
                      <w:rFonts w:ascii="Verdana" w:hAnsi="Verdana"/>
                      <w:sz w:val="20"/>
                    </w:rPr>
                    <w:t xml:space="preserve">1. </w:t>
                  </w:r>
                  <w:r w:rsidR="00846D40" w:rsidRPr="00846D40">
                    <w:rPr>
                      <w:rFonts w:ascii="Verdana" w:hAnsi="Verdana"/>
                      <w:sz w:val="20"/>
                    </w:rPr>
                    <w:t>Wszelkie zmiany i uzupełnienia niniejszego kontraktu wymagają dla swej ważności formy pisemnej pod rygorem nieważności.</w:t>
                  </w:r>
                </w:p>
                <w:p w:rsidR="00DE4C84" w:rsidRPr="00F7067A" w:rsidRDefault="00DE4C84" w:rsidP="0055367E">
                  <w:pPr>
                    <w:numPr>
                      <w:ilvl w:val="0"/>
                      <w:numId w:val="38"/>
                    </w:numPr>
                    <w:tabs>
                      <w:tab w:val="clear" w:pos="720"/>
                      <w:tab w:val="num" w:pos="273"/>
                      <w:tab w:val="left" w:pos="360"/>
                    </w:tabs>
                    <w:suppressAutoHyphens/>
                    <w:ind w:left="132" w:hanging="142"/>
                    <w:jc w:val="both"/>
                    <w:rPr>
                      <w:rFonts w:ascii="Verdana" w:hAnsi="Verdana" w:cs="Verdana"/>
                      <w:sz w:val="20"/>
                      <w:szCs w:val="20"/>
                      <w:lang w:eastAsia="zh-CN"/>
                    </w:rPr>
                  </w:pPr>
                  <w:r w:rsidRPr="00F7067A">
                    <w:rPr>
                      <w:rFonts w:ascii="Verdana" w:hAnsi="Verdana" w:cs="Verdana"/>
                      <w:sz w:val="20"/>
                      <w:szCs w:val="20"/>
                      <w:lang w:eastAsia="zh-CN"/>
                    </w:rPr>
                    <w:t xml:space="preserve">Zmiany umowy, o których mowa w ust. 1 muszą być dokonywane z zachowaniem przepisu art. 454 oraz 455 ustawy Prawy zamówień publicznych.  </w:t>
                  </w:r>
                </w:p>
                <w:p w:rsidR="00DE4C84" w:rsidRPr="00E05B71" w:rsidRDefault="00DE4C84" w:rsidP="00DE4C84">
                  <w:pPr>
                    <w:numPr>
                      <w:ilvl w:val="0"/>
                      <w:numId w:val="38"/>
                    </w:numPr>
                    <w:tabs>
                      <w:tab w:val="left" w:pos="360"/>
                    </w:tabs>
                    <w:suppressAutoHyphens/>
                    <w:spacing w:after="120"/>
                    <w:ind w:left="360"/>
                    <w:jc w:val="both"/>
                    <w:rPr>
                      <w:rFonts w:ascii="Verdana" w:hAnsi="Verdana" w:cs="Verdana"/>
                      <w:sz w:val="20"/>
                      <w:szCs w:val="20"/>
                      <w:lang w:eastAsia="zh-CN"/>
                    </w:rPr>
                  </w:pPr>
                  <w:r w:rsidRPr="00E05B71">
                    <w:rPr>
                      <w:rFonts w:ascii="Verdana" w:hAnsi="Verdana" w:cs="Verdana"/>
                      <w:sz w:val="20"/>
                      <w:szCs w:val="20"/>
                      <w:lang w:eastAsia="zh-CN"/>
                    </w:rPr>
                    <w:t xml:space="preserve">Dopuszcza się możliwość zmiany ustaleń niniejszej umowy w stosunku do treści oferty Wykonawcy w następującym zakresie: </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 xml:space="preserve">terminu realizacji przedmiotu zamówienia, gdy jest ona spowodowana następstwem okoliczności leżących po stronie Zamawiającego lub przeszkodami </w:t>
                  </w:r>
                  <w:r w:rsidRPr="00E05B71">
                    <w:rPr>
                      <w:rFonts w:ascii="Verdana" w:hAnsi="Verdana" w:cs="Verdana"/>
                      <w:sz w:val="20"/>
                      <w:szCs w:val="20"/>
                      <w:lang w:eastAsia="zh-CN"/>
                    </w:rPr>
                    <w:lastRenderedPageBreak/>
                    <w:t xml:space="preserve">dającymi się przypisać Zamawiającemu. </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wysokości wynagrodzenia w przypadku zmiany stawki podatku od towarów i usług.</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rsidR="00DE4C84" w:rsidRPr="00E05B71" w:rsidRDefault="00DE4C84" w:rsidP="00DE4C84">
                  <w:pPr>
                    <w:numPr>
                      <w:ilvl w:val="0"/>
                      <w:numId w:val="39"/>
                    </w:numPr>
                    <w:tabs>
                      <w:tab w:val="left" w:pos="284"/>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E4C84" w:rsidRPr="00E05B71"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39"/>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W przypadku zmiany, o której mowa w ust. 3 pkt. b), wartość wynagrodzenia netto nie zmieni się, a wartość wynagrodzenia brutto zostanie wyliczona na podstawie nowych przepisów.</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5F6794" w:rsidRDefault="00DE4C84" w:rsidP="00DE4C84">
                  <w:pPr>
                    <w:pStyle w:val="Tekstpodstawowywcity"/>
                    <w:numPr>
                      <w:ilvl w:val="0"/>
                      <w:numId w:val="40"/>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rsidR="00DE4C84" w:rsidRDefault="00DE4C84" w:rsidP="00C43C12">
                  <w:pPr>
                    <w:pStyle w:val="Tekstpodstawowywcity"/>
                    <w:spacing w:after="120" w:line="276" w:lineRule="auto"/>
                    <w:ind w:left="113" w:right="113"/>
                    <w:rPr>
                      <w:rFonts w:ascii="Verdana" w:hAnsi="Verdana"/>
                      <w:sz w:val="20"/>
                    </w:rPr>
                  </w:pPr>
                </w:p>
                <w:p w:rsidR="00DE4C84" w:rsidRPr="00760AB9" w:rsidRDefault="00DE4C84" w:rsidP="00DE4C84">
                  <w:pPr>
                    <w:spacing w:before="120" w:after="120" w:line="276" w:lineRule="auto"/>
                    <w:ind w:left="113" w:right="113"/>
                    <w:jc w:val="center"/>
                    <w:rPr>
                      <w:rFonts w:ascii="Verdana" w:hAnsi="Verdana" w:cs="Verdana"/>
                      <w:b/>
                      <w:bCs/>
                      <w:sz w:val="20"/>
                      <w:szCs w:val="20"/>
                      <w:lang w:eastAsia="zh-CN"/>
                    </w:rPr>
                  </w:pPr>
                  <w:r w:rsidRPr="00760AB9">
                    <w:rPr>
                      <w:rFonts w:ascii="Verdana" w:hAnsi="Verdana" w:cs="Verdana"/>
                      <w:b/>
                      <w:bCs/>
                      <w:sz w:val="20"/>
                      <w:szCs w:val="20"/>
                      <w:lang w:eastAsia="zh-CN"/>
                    </w:rPr>
                    <w:t>§ 15.</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lastRenderedPageBreak/>
                    <w:t>1. Strony przewidują możliwość zmiany poziomu maksymalnego</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 xml:space="preserve">wynagrodzenia, o którym mowa w § 2 umowy w związku ze zmianami cen materiałów lub kosztów związanych z realizacją przedmiotu umowy jeżeli zmiany te będą miały wpływ na koszt wykonania Umowy (dalej jako waloryzacja wynagrodzenia), </w:t>
                  </w:r>
                  <w:r w:rsidRPr="00E05B71">
                    <w:rPr>
                      <w:rFonts w:ascii="Verdana" w:hAnsi="Verdana" w:cs="Verdana"/>
                      <w:sz w:val="20"/>
                      <w:szCs w:val="20"/>
                      <w:lang w:eastAsia="zh-CN"/>
                    </w:rPr>
                    <w:br/>
                    <w:t>z zastrzeżeniem, że:</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numPr>
                      <w:ilvl w:val="0"/>
                      <w:numId w:val="41"/>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ab/>
                    <w:t>przez zmianę wysokości wynagrodzenia rozumie się jego podwyższenie, jak i obniżenie;</w:t>
                  </w:r>
                </w:p>
                <w:p w:rsidR="00DE4C84" w:rsidRPr="00E05B71" w:rsidRDefault="00DE4C84" w:rsidP="00DE4C84">
                  <w:pPr>
                    <w:tabs>
                      <w:tab w:val="left" w:pos="284"/>
                    </w:tabs>
                    <w:suppressAutoHyphens/>
                    <w:ind w:left="360"/>
                    <w:jc w:val="both"/>
                    <w:rPr>
                      <w:rFonts w:ascii="Verdana" w:hAnsi="Verdana" w:cs="Verdana"/>
                      <w:sz w:val="20"/>
                      <w:szCs w:val="20"/>
                      <w:lang w:eastAsia="zh-CN"/>
                    </w:rPr>
                  </w:pPr>
                </w:p>
                <w:p w:rsidR="00DE4C84" w:rsidRPr="00E05B71" w:rsidRDefault="00DE4C84" w:rsidP="00DE4C84">
                  <w:pPr>
                    <w:pStyle w:val="Tekstpodstawowywcity"/>
                    <w:spacing w:after="120" w:line="276" w:lineRule="auto"/>
                    <w:ind w:left="113" w:right="113"/>
                    <w:rPr>
                      <w:rFonts w:ascii="Verdana" w:hAnsi="Verdana" w:cs="Verdana"/>
                      <w:sz w:val="20"/>
                      <w:lang w:eastAsia="zh-CN"/>
                    </w:rPr>
                  </w:pPr>
                  <w:r>
                    <w:rPr>
                      <w:rFonts w:ascii="Verdana" w:hAnsi="Verdana" w:cs="Verdana"/>
                      <w:sz w:val="20"/>
                      <w:lang w:eastAsia="zh-CN"/>
                    </w:rPr>
                    <w:t xml:space="preserve">b.  </w:t>
                  </w:r>
                  <w:r w:rsidRPr="005F6794">
                    <w:rPr>
                      <w:rFonts w:ascii="Verdana" w:hAnsi="Verdana" w:cs="Verdana"/>
                      <w:sz w:val="20"/>
                      <w:lang w:eastAsia="zh-CN"/>
                    </w:rPr>
                    <w:t>miernikiem zmiany kosztów będzie miesięczny wskaźnik cen towarów i usług konsumpcyjnych ogłaszany przez Główny Urząd Statystyczny, określony w tabeli miesięcznych wskaźników cen towarów i usług konsumpcyjnych, liczony jako 100=</w:t>
                  </w:r>
                  <w:r>
                    <w:rPr>
                      <w:rFonts w:ascii="Verdana" w:hAnsi="Verdana" w:cs="Verdana"/>
                      <w:sz w:val="20"/>
                      <w:lang w:eastAsia="zh-CN"/>
                    </w:rPr>
                    <w:t xml:space="preserve"> </w:t>
                  </w:r>
                  <w:r w:rsidRPr="005F6794">
                    <w:rPr>
                      <w:rFonts w:ascii="Verdana" w:hAnsi="Verdana" w:cs="Verdana"/>
                      <w:sz w:val="20"/>
                      <w:lang w:eastAsia="zh-CN"/>
                    </w:rPr>
                    <w:t>analogiczny miesiąc poprzedniego roku;</w:t>
                  </w:r>
                </w:p>
                <w:p w:rsidR="00DE4C84" w:rsidRPr="00DE4C84" w:rsidRDefault="00DE4C84" w:rsidP="00ED1B50">
                  <w:pPr>
                    <w:numPr>
                      <w:ilvl w:val="0"/>
                      <w:numId w:val="48"/>
                    </w:numPr>
                    <w:tabs>
                      <w:tab w:val="left" w:pos="284"/>
                      <w:tab w:val="left" w:pos="360"/>
                    </w:tabs>
                    <w:suppressAutoHyphens/>
                    <w:jc w:val="both"/>
                    <w:rPr>
                      <w:rFonts w:ascii="Verdana" w:hAnsi="Verdana" w:cs="Verdana"/>
                      <w:sz w:val="20"/>
                      <w:szCs w:val="20"/>
                      <w:lang w:eastAsia="zh-CN"/>
                    </w:rPr>
                  </w:pPr>
                  <w:r w:rsidRPr="00DE4C84">
                    <w:rPr>
                      <w:rFonts w:ascii="Verdana" w:hAnsi="Verdana" w:cs="Verdana"/>
                      <w:sz w:val="20"/>
                      <w:szCs w:val="20"/>
                      <w:lang w:eastAsia="zh-CN"/>
                    </w:rPr>
                    <w:t xml:space="preserve"> pierwsza waloryzacja</w:t>
                  </w:r>
                  <w:r>
                    <w:rPr>
                      <w:rFonts w:ascii="Verdana" w:hAnsi="Verdana" w:cs="Verdana"/>
                      <w:sz w:val="20"/>
                      <w:szCs w:val="20"/>
                      <w:lang w:eastAsia="zh-CN"/>
                    </w:rPr>
                    <w:t xml:space="preserve"> </w:t>
                  </w:r>
                  <w:r w:rsidRPr="00DE4C84">
                    <w:rPr>
                      <w:rFonts w:ascii="Verdana" w:hAnsi="Verdana" w:cs="Verdana"/>
                      <w:sz w:val="20"/>
                      <w:szCs w:val="20"/>
                      <w:lang w:eastAsia="zh-CN"/>
                    </w:rPr>
                    <w:t>wynagrodzenia wykonawcy w oparciu o  wskaźnik podany w lit. b)  może zostać dokonana po upływie 6 pełnych miesięcy obowiązywania umowy, a każda następna po pływie kolejnych 6 pełnych miesięcy,</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E05B71" w:rsidRDefault="00DE4C84" w:rsidP="00DE4C84">
                  <w:pPr>
                    <w:numPr>
                      <w:ilvl w:val="0"/>
                      <w:numId w:val="48"/>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E05B71" w:rsidRDefault="00DE4C84" w:rsidP="00DE4C84">
                  <w:pPr>
                    <w:numPr>
                      <w:ilvl w:val="0"/>
                      <w:numId w:val="48"/>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łączna maksymalna wartość zmiany wynagrodzenia w efekcie zastosowania</w:t>
                  </w:r>
                  <w:r>
                    <w:rPr>
                      <w:rFonts w:ascii="Verdana" w:hAnsi="Verdana" w:cs="Verdana"/>
                      <w:sz w:val="20"/>
                      <w:szCs w:val="20"/>
                      <w:lang w:eastAsia="zh-CN"/>
                    </w:rPr>
                    <w:t xml:space="preserve"> </w:t>
                  </w:r>
                  <w:r w:rsidRPr="005F6794">
                    <w:rPr>
                      <w:rFonts w:ascii="Verdana" w:hAnsi="Verdana" w:cs="Verdana"/>
                      <w:sz w:val="20"/>
                      <w:szCs w:val="20"/>
                      <w:lang w:eastAsia="zh-CN"/>
                    </w:rPr>
                    <w:t>postanowień</w:t>
                  </w:r>
                  <w:r>
                    <w:rPr>
                      <w:rFonts w:ascii="Verdana" w:hAnsi="Verdana" w:cs="Verdana"/>
                      <w:sz w:val="20"/>
                      <w:szCs w:val="20"/>
                      <w:lang w:eastAsia="zh-CN"/>
                    </w:rPr>
                    <w:t xml:space="preserve"> </w:t>
                  </w:r>
                  <w:r w:rsidRPr="005F6794">
                    <w:rPr>
                      <w:rFonts w:ascii="Verdana" w:hAnsi="Verdana" w:cs="Verdana"/>
                      <w:sz w:val="20"/>
                      <w:szCs w:val="20"/>
                      <w:lang w:eastAsia="zh-CN"/>
                    </w:rPr>
                    <w:t xml:space="preserve">dotyczących w/w waloryzacji, nie może prze kroczyć  5 %  wysokości wynagrodzenia wykonawcy, o którym mowa w § 2 niniejszej  Umowy. </w:t>
                  </w:r>
                </w:p>
                <w:p w:rsidR="00DE4C84" w:rsidRPr="005F679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2. Zmiana wynagrodzenia, może zostać wprowadzona na wniosek Stron, zgodnie z poniższymi zasadami:</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lastRenderedPageBreak/>
                    <w:t xml:space="preserve"> Waloryzacja wynagrodzenia Wykonawcy będzie dotyczyła tylko niezrealizowanej części zamówienia.</w:t>
                  </w:r>
                </w:p>
                <w:p w:rsidR="00DE4C84" w:rsidRPr="00E05B71" w:rsidRDefault="00DE4C84" w:rsidP="00DE4C84">
                  <w:pPr>
                    <w:tabs>
                      <w:tab w:val="left" w:pos="284"/>
                    </w:tabs>
                    <w:suppressAutoHyphens/>
                    <w:ind w:left="360"/>
                    <w:jc w:val="both"/>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DE4C84"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DE4C84"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W</w:t>
                  </w:r>
                  <w:r>
                    <w:rPr>
                      <w:rFonts w:ascii="Verdana" w:hAnsi="Verdana" w:cs="Verdana"/>
                      <w:sz w:val="20"/>
                      <w:szCs w:val="20"/>
                      <w:lang w:eastAsia="zh-CN"/>
                    </w:rPr>
                    <w:t xml:space="preserve"> </w:t>
                  </w:r>
                  <w:r w:rsidRPr="005F6794">
                    <w:rPr>
                      <w:rFonts w:ascii="Verdana" w:hAnsi="Verdana" w:cs="Verdana"/>
                      <w:sz w:val="20"/>
                      <w:szCs w:val="20"/>
                      <w:lang w:eastAsia="zh-CN"/>
                    </w:rPr>
                    <w:t xml:space="preserve">przypadku wykazania przez wykonawcę, iż zmiana cen materiałów lub kosztów realizacji umowy jest wyższa niż wskaźnik waloryzacji, o którym mowa w ust. 1 lit. b), wynagrodzenie zostanie zwaloryzowane maksymalnie do wysokości wskaźnika waloryzacji. </w:t>
                  </w:r>
                </w:p>
                <w:p w:rsidR="00DE4C84" w:rsidRPr="005F6794" w:rsidRDefault="00DE4C84" w:rsidP="00DE4C84">
                  <w:pPr>
                    <w:pStyle w:val="Akapitzlist"/>
                    <w:rPr>
                      <w:rFonts w:ascii="Verdana" w:hAnsi="Verdana" w:cs="Verdana"/>
                      <w:sz w:val="20"/>
                      <w:szCs w:val="20"/>
                      <w:lang w:eastAsia="zh-CN"/>
                    </w:rPr>
                  </w:pPr>
                </w:p>
                <w:p w:rsidR="00DE4C84" w:rsidRPr="005F6794"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sidRPr="005F6794">
                    <w:rPr>
                      <w:rFonts w:ascii="Verdana" w:hAnsi="Verdana" w:cs="Verdana"/>
                      <w:sz w:val="20"/>
                      <w:szCs w:val="20"/>
                      <w:lang w:eastAsia="zh-CN"/>
                    </w:rPr>
                    <w:t>W przypadku wniosku  złożonego przez Wykonawcę, Zamawiający, w</w:t>
                  </w:r>
                </w:p>
                <w:p w:rsidR="00DE4C84" w:rsidRPr="005F6794" w:rsidRDefault="00DE4C84" w:rsidP="00DE4C84">
                  <w:pPr>
                    <w:tabs>
                      <w:tab w:val="left" w:pos="284"/>
                      <w:tab w:val="left" w:pos="360"/>
                    </w:tabs>
                    <w:suppressAutoHyphens/>
                    <w:ind w:left="360"/>
                    <w:jc w:val="both"/>
                    <w:rPr>
                      <w:rFonts w:ascii="Verdana" w:hAnsi="Verdana" w:cs="Verdana"/>
                      <w:sz w:val="20"/>
                      <w:szCs w:val="20"/>
                      <w:lang w:eastAsia="zh-CN"/>
                    </w:rPr>
                  </w:pPr>
                  <w:r w:rsidRPr="005F6794">
                    <w:rPr>
                      <w:rFonts w:ascii="Verdana" w:hAnsi="Verdana" w:cs="Verdana"/>
                      <w:sz w:val="20"/>
                      <w:szCs w:val="20"/>
                      <w:lang w:eastAsia="zh-CN"/>
                    </w:rPr>
                    <w:t>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W przypadku wniosku  złożonego przez Zamawiającego, Zamawiający wskazuje wielkość procentową obniżenia wynagrodzenia, nieprzekraczającą wielkości przyjętego wskaźnika. Wykonawca, w terminie 14 dni od dnia złożenia wniosku, dokona jego oceny i </w:t>
                  </w:r>
                  <w:r w:rsidRPr="005F6794">
                    <w:rPr>
                      <w:rFonts w:ascii="Verdana" w:hAnsi="Verdana" w:cs="Verdana"/>
                      <w:sz w:val="20"/>
                      <w:szCs w:val="20"/>
                      <w:lang w:eastAsia="zh-CN"/>
                    </w:rPr>
                    <w:lastRenderedPageBreak/>
                    <w:t>podejmie decyzję o ewentualnej zmianie wysokości wynagrodzenia lub  odmówi wprowadzania zmiany, przedstawiając swoje stanowisko.</w:t>
                  </w:r>
                </w:p>
                <w:p w:rsidR="00DE4C84" w:rsidRDefault="00DE4C84" w:rsidP="00DE4C84">
                  <w:pPr>
                    <w:tabs>
                      <w:tab w:val="left" w:pos="284"/>
                    </w:tabs>
                    <w:suppressAutoHyphens/>
                    <w:jc w:val="both"/>
                    <w:rPr>
                      <w:rFonts w:ascii="Verdana" w:hAnsi="Verdana" w:cs="Verdana"/>
                      <w:sz w:val="20"/>
                      <w:szCs w:val="20"/>
                      <w:lang w:eastAsia="zh-CN"/>
                    </w:rPr>
                  </w:pPr>
                </w:p>
                <w:p w:rsidR="00DE4C84" w:rsidRPr="00760AB9" w:rsidRDefault="00DE4C84" w:rsidP="00DE4C84">
                  <w:pPr>
                    <w:pStyle w:val="Akapitzlist"/>
                    <w:numPr>
                      <w:ilvl w:val="1"/>
                      <w:numId w:val="43"/>
                    </w:numPr>
                    <w:tabs>
                      <w:tab w:val="left" w:pos="284"/>
                      <w:tab w:val="left" w:pos="360"/>
                    </w:tabs>
                    <w:suppressAutoHyphens/>
                    <w:jc w:val="both"/>
                    <w:rPr>
                      <w:rFonts w:ascii="Verdana" w:hAnsi="Verdana" w:cs="Verdana"/>
                      <w:sz w:val="20"/>
                      <w:szCs w:val="20"/>
                      <w:lang w:eastAsia="zh-CN"/>
                    </w:rPr>
                  </w:pPr>
                  <w:r w:rsidRPr="00760AB9">
                    <w:rPr>
                      <w:rFonts w:ascii="Verdana" w:hAnsi="Verdana"/>
                      <w:sz w:val="20"/>
                      <w:szCs w:val="20"/>
                    </w:rPr>
                    <w:t xml:space="preserve"> Wykonawca, którego wynagrodzenie zostało zmienione zgodnie z § 15.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DE4C84" w:rsidRPr="00846D40" w:rsidRDefault="00DE4C84" w:rsidP="00DE4C84">
                  <w:pPr>
                    <w:pStyle w:val="Tekstpodstawowywcity"/>
                    <w:spacing w:after="120" w:line="276" w:lineRule="auto"/>
                    <w:ind w:left="113" w:right="113"/>
                    <w:rPr>
                      <w:rFonts w:ascii="Verdana" w:hAnsi="Verdana"/>
                      <w:sz w:val="20"/>
                    </w:rPr>
                  </w:pP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w:t>
                  </w:r>
                  <w:r w:rsidR="00DE4C84">
                    <w:rPr>
                      <w:rFonts w:ascii="Verdana" w:hAnsi="Verdana"/>
                      <w:b/>
                      <w:sz w:val="20"/>
                      <w:szCs w:val="20"/>
                    </w:rPr>
                    <w:t>6</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Default="001C7EF1"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846D40">
      <w:pPr>
        <w:spacing w:line="276" w:lineRule="auto"/>
        <w:rPr>
          <w:rFonts w:ascii="Palatino Linotype" w:hAnsi="Palatino Linotype"/>
          <w:sz w:val="22"/>
          <w:szCs w:val="22"/>
          <w:u w:val="single"/>
          <w:lang w:val="en-GB"/>
        </w:rPr>
      </w:pPr>
    </w:p>
    <w:p w:rsidR="0023549B" w:rsidRDefault="0023549B" w:rsidP="0023549B">
      <w:pPr>
        <w:spacing w:line="276" w:lineRule="auto"/>
        <w:jc w:val="right"/>
        <w:rPr>
          <w:rFonts w:ascii="Palatino Linotype" w:hAnsi="Palatino Linotype"/>
          <w:b/>
          <w:sz w:val="22"/>
          <w:szCs w:val="22"/>
          <w:u w:val="single"/>
          <w:lang w:val="en-GB"/>
        </w:rPr>
      </w:pPr>
      <w:r>
        <w:rPr>
          <w:rFonts w:ascii="Palatino Linotype" w:hAnsi="Palatino Linotype"/>
          <w:b/>
          <w:sz w:val="22"/>
          <w:szCs w:val="22"/>
          <w:u w:val="single"/>
          <w:lang w:val="en-GB"/>
        </w:rPr>
        <w:lastRenderedPageBreak/>
        <w:t>Załącznik do umowy</w:t>
      </w:r>
    </w:p>
    <w:p w:rsidR="0023549B" w:rsidRPr="0023549B" w:rsidRDefault="0023549B" w:rsidP="0023549B">
      <w:pPr>
        <w:spacing w:line="276" w:lineRule="auto"/>
        <w:jc w:val="right"/>
        <w:rPr>
          <w:rFonts w:ascii="Palatino Linotype" w:hAnsi="Palatino Linotype"/>
          <w:sz w:val="22"/>
          <w:szCs w:val="22"/>
          <w:lang w:val="en-GB"/>
        </w:rPr>
      </w:pPr>
    </w:p>
    <w:p w:rsidR="0023549B" w:rsidRDefault="0023549B" w:rsidP="0023549B">
      <w:pPr>
        <w:spacing w:line="276" w:lineRule="auto"/>
        <w:jc w:val="right"/>
        <w:rPr>
          <w:rFonts w:ascii="Palatino Linotype" w:hAnsi="Palatino Linotype"/>
          <w:sz w:val="22"/>
          <w:szCs w:val="22"/>
          <w:u w:val="single"/>
          <w:lang w:val="en-GB"/>
        </w:rPr>
      </w:pPr>
    </w:p>
    <w:p w:rsidR="0023549B" w:rsidRDefault="0023549B" w:rsidP="0023549B">
      <w:pPr>
        <w:jc w:val="both"/>
      </w:pPr>
      <w:r w:rsidRPr="0067772E">
        <w:rPr>
          <w:b/>
          <w:bCs/>
        </w:rPr>
        <w:t xml:space="preserve">Tabela </w:t>
      </w:r>
      <w:r>
        <w:rPr>
          <w:b/>
          <w:bCs/>
        </w:rPr>
        <w:t>3</w:t>
      </w:r>
      <w:r w:rsidRPr="0067772E">
        <w:rPr>
          <w:b/>
          <w:bCs/>
        </w:rPr>
        <w:t>:</w:t>
      </w:r>
      <w:r>
        <w:t xml:space="preserve"> Wyniki pomiarów gwarancyjnych</w:t>
      </w:r>
    </w:p>
    <w:tbl>
      <w:tblPr>
        <w:tblStyle w:val="Tabela-Siatka"/>
        <w:tblW w:w="0" w:type="auto"/>
        <w:tblLook w:val="04A0" w:firstRow="1" w:lastRow="0" w:firstColumn="1" w:lastColumn="0" w:noHBand="0" w:noVBand="1"/>
      </w:tblPr>
      <w:tblGrid>
        <w:gridCol w:w="603"/>
        <w:gridCol w:w="3672"/>
        <w:gridCol w:w="4785"/>
      </w:tblGrid>
      <w:tr w:rsidR="0023549B" w:rsidTr="00D5394A">
        <w:tc>
          <w:tcPr>
            <w:tcW w:w="565" w:type="dxa"/>
          </w:tcPr>
          <w:p w:rsidR="0023549B" w:rsidRDefault="0023549B" w:rsidP="00D5394A">
            <w:pPr>
              <w:jc w:val="center"/>
            </w:pPr>
            <w:r>
              <w:t>L.p.</w:t>
            </w:r>
          </w:p>
        </w:tc>
        <w:tc>
          <w:tcPr>
            <w:tcW w:w="3683" w:type="dxa"/>
            <w:vAlign w:val="center"/>
          </w:tcPr>
          <w:p w:rsidR="0023549B" w:rsidRDefault="0023549B" w:rsidP="00D5394A">
            <w:pPr>
              <w:jc w:val="center"/>
            </w:pPr>
            <w:r>
              <w:t>Nazwa</w:t>
            </w:r>
          </w:p>
        </w:tc>
        <w:tc>
          <w:tcPr>
            <w:tcW w:w="4814" w:type="dxa"/>
            <w:vAlign w:val="center"/>
          </w:tcPr>
          <w:p w:rsidR="0023549B" w:rsidRDefault="0023549B" w:rsidP="00D5394A">
            <w:pPr>
              <w:jc w:val="center"/>
            </w:pPr>
            <w:r>
              <w:t>Wartości zmierzone lub wyznaczone podczas próby technologicznej</w:t>
            </w:r>
          </w:p>
        </w:tc>
      </w:tr>
      <w:tr w:rsidR="0023549B" w:rsidTr="00D5394A">
        <w:tc>
          <w:tcPr>
            <w:tcW w:w="565" w:type="dxa"/>
            <w:vAlign w:val="center"/>
          </w:tcPr>
          <w:p w:rsidR="0023549B" w:rsidRDefault="0023549B" w:rsidP="00D5394A">
            <w:pPr>
              <w:jc w:val="right"/>
            </w:pPr>
            <w:r>
              <w:t>1</w:t>
            </w:r>
          </w:p>
        </w:tc>
        <w:tc>
          <w:tcPr>
            <w:tcW w:w="3683" w:type="dxa"/>
            <w:vAlign w:val="center"/>
          </w:tcPr>
          <w:p w:rsidR="0023549B" w:rsidRDefault="0023549B" w:rsidP="00D5394A">
            <w:pPr>
              <w:jc w:val="both"/>
            </w:pPr>
            <w:r>
              <w:t>Moc elektryczna zainstalowana</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2</w:t>
            </w:r>
          </w:p>
        </w:tc>
        <w:tc>
          <w:tcPr>
            <w:tcW w:w="3683" w:type="dxa"/>
            <w:vAlign w:val="center"/>
          </w:tcPr>
          <w:p w:rsidR="0023549B" w:rsidRDefault="0023549B" w:rsidP="00D5394A">
            <w:pPr>
              <w:jc w:val="both"/>
            </w:pPr>
            <w:r>
              <w:t>Energia elektryczna gotowa do oddania do sieci</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3</w:t>
            </w:r>
          </w:p>
        </w:tc>
        <w:tc>
          <w:tcPr>
            <w:tcW w:w="3683" w:type="dxa"/>
            <w:vAlign w:val="center"/>
          </w:tcPr>
          <w:p w:rsidR="0023549B" w:rsidRDefault="0023549B" w:rsidP="00D5394A">
            <w:pPr>
              <w:jc w:val="both"/>
            </w:pPr>
            <w:r>
              <w:t>Całkowita sprawność przetwarzania energii (</w:t>
            </w:r>
            <w:r w:rsidRPr="00165109">
              <w:rPr>
                <w:rFonts w:ascii="Symbol" w:hAnsi="Symbol"/>
              </w:rPr>
              <w:t></w:t>
            </w:r>
            <w:r>
              <w:t>) (dla pełnego cyklu ładowanie/rozładowanie z poziomem energii elektrycznej oddanej do sieci jak w pkt. 2)</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4</w:t>
            </w:r>
          </w:p>
        </w:tc>
        <w:tc>
          <w:tcPr>
            <w:tcW w:w="3683" w:type="dxa"/>
            <w:vAlign w:val="center"/>
          </w:tcPr>
          <w:p w:rsidR="0023549B" w:rsidRDefault="0023549B" w:rsidP="00D5394A">
            <w:pPr>
              <w:jc w:val="both"/>
            </w:pPr>
            <w:r>
              <w:t>Poziom hałasu</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5</w:t>
            </w:r>
          </w:p>
        </w:tc>
        <w:tc>
          <w:tcPr>
            <w:tcW w:w="3683" w:type="dxa"/>
            <w:vAlign w:val="center"/>
          </w:tcPr>
          <w:p w:rsidR="0023549B" w:rsidRDefault="0023549B" w:rsidP="00D5394A">
            <w:pPr>
              <w:jc w:val="both"/>
            </w:pPr>
            <w:r>
              <w:t>Z</w:t>
            </w:r>
            <w:r w:rsidRPr="00F61354">
              <w:t>biornik buforowy powietrza</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6</w:t>
            </w:r>
          </w:p>
        </w:tc>
        <w:tc>
          <w:tcPr>
            <w:tcW w:w="3683" w:type="dxa"/>
            <w:vAlign w:val="center"/>
          </w:tcPr>
          <w:p w:rsidR="0023549B" w:rsidRDefault="0023549B" w:rsidP="00D5394A">
            <w:pPr>
              <w:jc w:val="both"/>
            </w:pPr>
            <w:r>
              <w:t>J</w:t>
            </w:r>
            <w:r w:rsidRPr="004B3242">
              <w:t>ednostk</w:t>
            </w:r>
            <w:r>
              <w:t>a</w:t>
            </w:r>
            <w:r w:rsidRPr="004B3242">
              <w:t xml:space="preserve"> magazynowania wysokociśnieniowego</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7</w:t>
            </w:r>
          </w:p>
        </w:tc>
        <w:tc>
          <w:tcPr>
            <w:tcW w:w="3683" w:type="dxa"/>
            <w:vAlign w:val="center"/>
          </w:tcPr>
          <w:p w:rsidR="0023549B" w:rsidRDefault="0023549B" w:rsidP="00D5394A">
            <w:pPr>
              <w:jc w:val="both"/>
            </w:pPr>
            <w:r>
              <w:t>Zbiornik buforowy zimnej wody</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8</w:t>
            </w:r>
          </w:p>
        </w:tc>
        <w:tc>
          <w:tcPr>
            <w:tcW w:w="3683" w:type="dxa"/>
            <w:vAlign w:val="center"/>
          </w:tcPr>
          <w:p w:rsidR="0023549B" w:rsidRDefault="0023549B" w:rsidP="00D5394A">
            <w:pPr>
              <w:jc w:val="both"/>
            </w:pPr>
            <w:r>
              <w:t>Zbiornik buforowy ciepłej wody</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9</w:t>
            </w:r>
          </w:p>
        </w:tc>
        <w:tc>
          <w:tcPr>
            <w:tcW w:w="3683" w:type="dxa"/>
            <w:vAlign w:val="center"/>
          </w:tcPr>
          <w:p w:rsidR="0023549B" w:rsidRDefault="0023549B" w:rsidP="00D5394A">
            <w:pPr>
              <w:jc w:val="both"/>
            </w:pPr>
            <w:r>
              <w:t>Współpraca z siecią elektroenergetyczną (3-fazowa 400 V AC, 50 Hz)</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lastRenderedPageBreak/>
              <w:t>10</w:t>
            </w:r>
          </w:p>
        </w:tc>
        <w:tc>
          <w:tcPr>
            <w:tcW w:w="3683" w:type="dxa"/>
            <w:vAlign w:val="center"/>
          </w:tcPr>
          <w:p w:rsidR="0023549B" w:rsidRDefault="0023549B" w:rsidP="00D5394A">
            <w:pPr>
              <w:jc w:val="both"/>
            </w:pPr>
            <w:r>
              <w:t>Współpraca z odnawialnymi źródłami energii</w:t>
            </w:r>
          </w:p>
        </w:tc>
        <w:tc>
          <w:tcPr>
            <w:tcW w:w="4814" w:type="dxa"/>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11</w:t>
            </w:r>
          </w:p>
        </w:tc>
        <w:tc>
          <w:tcPr>
            <w:tcW w:w="3683" w:type="dxa"/>
            <w:vAlign w:val="center"/>
          </w:tcPr>
          <w:p w:rsidR="0023549B" w:rsidRDefault="0023549B" w:rsidP="00D5394A">
            <w:pPr>
              <w:jc w:val="both"/>
            </w:pPr>
            <w:r>
              <w:t>Zabezpieczenia elektryczne, komunikacja, sterowanie</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r w:rsidR="0023549B" w:rsidTr="00D5394A">
        <w:tc>
          <w:tcPr>
            <w:tcW w:w="565" w:type="dxa"/>
            <w:vAlign w:val="center"/>
          </w:tcPr>
          <w:p w:rsidR="0023549B" w:rsidRDefault="0023549B" w:rsidP="00D5394A">
            <w:pPr>
              <w:jc w:val="right"/>
            </w:pPr>
            <w:r>
              <w:t>12</w:t>
            </w:r>
          </w:p>
        </w:tc>
        <w:tc>
          <w:tcPr>
            <w:tcW w:w="3683" w:type="dxa"/>
            <w:vAlign w:val="center"/>
          </w:tcPr>
          <w:p w:rsidR="0023549B" w:rsidRDefault="0023549B" w:rsidP="00D5394A">
            <w:pPr>
              <w:jc w:val="both"/>
            </w:pPr>
            <w:r>
              <w:t>Zabudowa kontenerowa</w:t>
            </w:r>
          </w:p>
        </w:tc>
        <w:tc>
          <w:tcPr>
            <w:tcW w:w="4814" w:type="dxa"/>
            <w:vAlign w:val="center"/>
          </w:tcPr>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p w:rsidR="0023549B" w:rsidRDefault="0023549B" w:rsidP="00D5394A">
            <w:pPr>
              <w:jc w:val="both"/>
            </w:pPr>
          </w:p>
        </w:tc>
      </w:tr>
    </w:tbl>
    <w:p w:rsidR="0023549B" w:rsidRDefault="0023549B" w:rsidP="0023549B">
      <w:pPr>
        <w:jc w:val="both"/>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center"/>
        <w:rPr>
          <w:rFonts w:ascii="Palatino Linotype" w:hAnsi="Palatino Linotype"/>
          <w:sz w:val="22"/>
          <w:szCs w:val="22"/>
          <w:lang w:val="en-GB"/>
        </w:rPr>
      </w:pPr>
    </w:p>
    <w:p w:rsidR="0023549B" w:rsidRDefault="0023549B" w:rsidP="0023549B">
      <w:pPr>
        <w:spacing w:line="276" w:lineRule="auto"/>
        <w:jc w:val="right"/>
        <w:rPr>
          <w:rFonts w:ascii="Palatino Linotype" w:hAnsi="Palatino Linotype"/>
          <w:sz w:val="22"/>
          <w:szCs w:val="22"/>
          <w:lang w:val="en-GB"/>
        </w:rPr>
      </w:pPr>
      <w:r>
        <w:rPr>
          <w:rFonts w:ascii="Palatino Linotype" w:hAnsi="Palatino Linotype"/>
          <w:sz w:val="22"/>
          <w:szCs w:val="22"/>
          <w:lang w:val="en-GB"/>
        </w:rPr>
        <w:lastRenderedPageBreak/>
        <w:t>annex to the contract</w:t>
      </w:r>
    </w:p>
    <w:p w:rsidR="0023549B" w:rsidRPr="009B08F4" w:rsidRDefault="0023549B" w:rsidP="0023549B">
      <w:pPr>
        <w:jc w:val="both"/>
        <w:rPr>
          <w:lang w:val="en-GB"/>
        </w:rPr>
      </w:pPr>
      <w:r w:rsidRPr="009B08F4">
        <w:rPr>
          <w:b/>
          <w:bCs/>
          <w:lang w:val="en-GB"/>
        </w:rPr>
        <w:t>Table 3:</w:t>
      </w:r>
      <w:r w:rsidRPr="009B08F4">
        <w:rPr>
          <w:lang w:val="en-GB"/>
        </w:rPr>
        <w:t xml:space="preserve"> Guarantee measurement results</w:t>
      </w:r>
    </w:p>
    <w:tbl>
      <w:tblPr>
        <w:tblStyle w:val="Tabela-Siatka"/>
        <w:tblW w:w="0" w:type="auto"/>
        <w:tblLook w:val="04A0" w:firstRow="1" w:lastRow="0" w:firstColumn="1" w:lastColumn="0" w:noHBand="0" w:noVBand="1"/>
      </w:tblPr>
      <w:tblGrid>
        <w:gridCol w:w="565"/>
        <w:gridCol w:w="3682"/>
        <w:gridCol w:w="4813"/>
      </w:tblGrid>
      <w:tr w:rsidR="0023549B" w:rsidRPr="009E6B3D" w:rsidTr="00D5394A">
        <w:tc>
          <w:tcPr>
            <w:tcW w:w="565" w:type="dxa"/>
          </w:tcPr>
          <w:p w:rsidR="0023549B" w:rsidRPr="009B08F4" w:rsidRDefault="0023549B" w:rsidP="00D5394A">
            <w:pPr>
              <w:jc w:val="center"/>
              <w:rPr>
                <w:lang w:val="en-GB"/>
              </w:rPr>
            </w:pPr>
            <w:r w:rsidRPr="009B08F4">
              <w:rPr>
                <w:lang w:val="en-GB"/>
              </w:rPr>
              <w:t>No</w:t>
            </w:r>
          </w:p>
        </w:tc>
        <w:tc>
          <w:tcPr>
            <w:tcW w:w="3683" w:type="dxa"/>
            <w:vAlign w:val="center"/>
          </w:tcPr>
          <w:p w:rsidR="0023549B" w:rsidRPr="009B08F4" w:rsidRDefault="0023549B" w:rsidP="00D5394A">
            <w:pPr>
              <w:jc w:val="center"/>
              <w:rPr>
                <w:lang w:val="en-GB"/>
              </w:rPr>
            </w:pPr>
            <w:r w:rsidRPr="009B08F4">
              <w:rPr>
                <w:lang w:val="en-GB"/>
              </w:rPr>
              <w:t>Name</w:t>
            </w:r>
          </w:p>
        </w:tc>
        <w:tc>
          <w:tcPr>
            <w:tcW w:w="4814" w:type="dxa"/>
            <w:vAlign w:val="center"/>
          </w:tcPr>
          <w:p w:rsidR="0023549B" w:rsidRPr="009B08F4" w:rsidRDefault="0023549B" w:rsidP="00D5394A">
            <w:pPr>
              <w:jc w:val="center"/>
              <w:rPr>
                <w:lang w:val="en-GB"/>
              </w:rPr>
            </w:pPr>
            <w:r w:rsidRPr="009B08F4">
              <w:rPr>
                <w:lang w:val="en-GB"/>
              </w:rPr>
              <w:t>Values measured or determined during a technological test</w:t>
            </w: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1</w:t>
            </w:r>
          </w:p>
        </w:tc>
        <w:tc>
          <w:tcPr>
            <w:tcW w:w="3683" w:type="dxa"/>
          </w:tcPr>
          <w:p w:rsidR="0023549B" w:rsidRPr="009B08F4" w:rsidRDefault="0023549B" w:rsidP="00D5394A">
            <w:pPr>
              <w:jc w:val="both"/>
              <w:rPr>
                <w:lang w:val="en-GB"/>
              </w:rPr>
            </w:pPr>
            <w:r w:rsidRPr="009B08F4">
              <w:rPr>
                <w:lang w:val="en-GB"/>
              </w:rPr>
              <w:t>Electrical power installed</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t>2</w:t>
            </w:r>
          </w:p>
        </w:tc>
        <w:tc>
          <w:tcPr>
            <w:tcW w:w="3683" w:type="dxa"/>
          </w:tcPr>
          <w:p w:rsidR="0023549B" w:rsidRPr="009B08F4" w:rsidRDefault="0023549B" w:rsidP="00D5394A">
            <w:pPr>
              <w:jc w:val="both"/>
              <w:rPr>
                <w:lang w:val="en-GB"/>
              </w:rPr>
            </w:pPr>
            <w:r w:rsidRPr="009B08F4">
              <w:rPr>
                <w:lang w:val="en-GB"/>
              </w:rPr>
              <w:t>Electricity ready to be delivered into the grid</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t>3</w:t>
            </w:r>
          </w:p>
        </w:tc>
        <w:tc>
          <w:tcPr>
            <w:tcW w:w="3683" w:type="dxa"/>
          </w:tcPr>
          <w:p w:rsidR="0023549B" w:rsidRPr="009B08F4" w:rsidRDefault="0023549B" w:rsidP="00D5394A">
            <w:pPr>
              <w:jc w:val="both"/>
              <w:rPr>
                <w:lang w:val="en-GB"/>
              </w:rPr>
            </w:pPr>
            <w:r w:rsidRPr="009B08F4">
              <w:rPr>
                <w:lang w:val="en-GB"/>
              </w:rPr>
              <w:t>Round-trip efficiency (</w:t>
            </w:r>
            <w:r>
              <w:rPr>
                <w:lang w:val="en-GB"/>
              </w:rPr>
              <w:sym w:font="Symbol" w:char="F068"/>
            </w:r>
            <w:r w:rsidRPr="009B08F4">
              <w:rPr>
                <w:lang w:val="en-GB"/>
              </w:rPr>
              <w:t>) (for a full charge/discharge cycle with the level of electrical energy delivered into the grid as in point 2)</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4</w:t>
            </w:r>
          </w:p>
        </w:tc>
        <w:tc>
          <w:tcPr>
            <w:tcW w:w="3683" w:type="dxa"/>
          </w:tcPr>
          <w:p w:rsidR="0023549B" w:rsidRPr="009B08F4" w:rsidRDefault="0023549B" w:rsidP="00D5394A">
            <w:pPr>
              <w:jc w:val="both"/>
              <w:rPr>
                <w:lang w:val="en-GB"/>
              </w:rPr>
            </w:pPr>
            <w:r w:rsidRPr="009B08F4">
              <w:rPr>
                <w:lang w:val="en-GB"/>
              </w:rPr>
              <w:t>Noise level</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5</w:t>
            </w:r>
          </w:p>
        </w:tc>
        <w:tc>
          <w:tcPr>
            <w:tcW w:w="3683" w:type="dxa"/>
          </w:tcPr>
          <w:p w:rsidR="0023549B" w:rsidRPr="009B08F4" w:rsidRDefault="0023549B" w:rsidP="00D5394A">
            <w:pPr>
              <w:jc w:val="both"/>
              <w:rPr>
                <w:lang w:val="en-GB"/>
              </w:rPr>
            </w:pPr>
            <w:r w:rsidRPr="009B08F4">
              <w:rPr>
                <w:lang w:val="en-GB"/>
              </w:rPr>
              <w:t>Air buffer tank</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6</w:t>
            </w:r>
          </w:p>
        </w:tc>
        <w:tc>
          <w:tcPr>
            <w:tcW w:w="3683" w:type="dxa"/>
          </w:tcPr>
          <w:p w:rsidR="0023549B" w:rsidRPr="009B08F4" w:rsidRDefault="0023549B" w:rsidP="00D5394A">
            <w:pPr>
              <w:jc w:val="both"/>
              <w:rPr>
                <w:lang w:val="en-GB"/>
              </w:rPr>
            </w:pPr>
            <w:r w:rsidRPr="009B08F4">
              <w:rPr>
                <w:lang w:val="en-GB"/>
              </w:rPr>
              <w:t>High-pressure storage unit</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7</w:t>
            </w:r>
          </w:p>
        </w:tc>
        <w:tc>
          <w:tcPr>
            <w:tcW w:w="3683" w:type="dxa"/>
          </w:tcPr>
          <w:p w:rsidR="0023549B" w:rsidRPr="009B08F4" w:rsidRDefault="0023549B" w:rsidP="00D5394A">
            <w:pPr>
              <w:jc w:val="both"/>
              <w:rPr>
                <w:lang w:val="en-GB"/>
              </w:rPr>
            </w:pPr>
            <w:r w:rsidRPr="009B08F4">
              <w:rPr>
                <w:lang w:val="en-GB"/>
              </w:rPr>
              <w:t>Cold water buffer tank</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8</w:t>
            </w:r>
          </w:p>
        </w:tc>
        <w:tc>
          <w:tcPr>
            <w:tcW w:w="3683" w:type="dxa"/>
          </w:tcPr>
          <w:p w:rsidR="0023549B" w:rsidRPr="009B08F4" w:rsidRDefault="0023549B" w:rsidP="00D5394A">
            <w:pPr>
              <w:jc w:val="both"/>
              <w:rPr>
                <w:lang w:val="en-GB"/>
              </w:rPr>
            </w:pPr>
            <w:r w:rsidRPr="009B08F4">
              <w:rPr>
                <w:lang w:val="en-GB"/>
              </w:rPr>
              <w:t>Hot water buffer tank</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t>9</w:t>
            </w:r>
          </w:p>
        </w:tc>
        <w:tc>
          <w:tcPr>
            <w:tcW w:w="3683" w:type="dxa"/>
          </w:tcPr>
          <w:p w:rsidR="0023549B" w:rsidRPr="009B08F4" w:rsidRDefault="0023549B" w:rsidP="00D5394A">
            <w:pPr>
              <w:jc w:val="both"/>
              <w:rPr>
                <w:lang w:val="en-GB"/>
              </w:rPr>
            </w:pPr>
            <w:r w:rsidRPr="009B08F4">
              <w:rPr>
                <w:lang w:val="en-GB"/>
              </w:rPr>
              <w:t>Cooperation with the power grid (3-phase 400 V AC, 50 Hz)</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E6B3D" w:rsidTr="00D5394A">
        <w:tc>
          <w:tcPr>
            <w:tcW w:w="565" w:type="dxa"/>
            <w:vAlign w:val="center"/>
          </w:tcPr>
          <w:p w:rsidR="0023549B" w:rsidRPr="009B08F4" w:rsidRDefault="0023549B" w:rsidP="00D5394A">
            <w:pPr>
              <w:jc w:val="right"/>
              <w:rPr>
                <w:lang w:val="en-GB"/>
              </w:rPr>
            </w:pPr>
            <w:r w:rsidRPr="009B08F4">
              <w:rPr>
                <w:lang w:val="en-GB"/>
              </w:rPr>
              <w:lastRenderedPageBreak/>
              <w:t>10</w:t>
            </w:r>
          </w:p>
        </w:tc>
        <w:tc>
          <w:tcPr>
            <w:tcW w:w="3683" w:type="dxa"/>
          </w:tcPr>
          <w:p w:rsidR="0023549B" w:rsidRPr="009B08F4" w:rsidRDefault="0023549B" w:rsidP="00D5394A">
            <w:pPr>
              <w:jc w:val="both"/>
              <w:rPr>
                <w:lang w:val="en-GB"/>
              </w:rPr>
            </w:pPr>
            <w:r w:rsidRPr="009B08F4">
              <w:rPr>
                <w:lang w:val="en-GB"/>
              </w:rPr>
              <w:t>Cooperation with renewable energy sources</w:t>
            </w:r>
          </w:p>
        </w:tc>
        <w:tc>
          <w:tcPr>
            <w:tcW w:w="4814" w:type="dxa"/>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11</w:t>
            </w:r>
          </w:p>
        </w:tc>
        <w:tc>
          <w:tcPr>
            <w:tcW w:w="3683" w:type="dxa"/>
          </w:tcPr>
          <w:p w:rsidR="0023549B" w:rsidRPr="009B08F4" w:rsidRDefault="0023549B" w:rsidP="00D5394A">
            <w:pPr>
              <w:jc w:val="both"/>
              <w:rPr>
                <w:lang w:val="en-GB"/>
              </w:rPr>
            </w:pPr>
            <w:r w:rsidRPr="009B08F4">
              <w:rPr>
                <w:lang w:val="en-GB"/>
              </w:rPr>
              <w:t>Electrical protection, communication, control</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r w:rsidR="0023549B" w:rsidRPr="009B08F4" w:rsidTr="00D5394A">
        <w:tc>
          <w:tcPr>
            <w:tcW w:w="565" w:type="dxa"/>
            <w:vAlign w:val="center"/>
          </w:tcPr>
          <w:p w:rsidR="0023549B" w:rsidRPr="009B08F4" w:rsidRDefault="0023549B" w:rsidP="00D5394A">
            <w:pPr>
              <w:jc w:val="right"/>
              <w:rPr>
                <w:lang w:val="en-GB"/>
              </w:rPr>
            </w:pPr>
            <w:r w:rsidRPr="009B08F4">
              <w:rPr>
                <w:lang w:val="en-GB"/>
              </w:rPr>
              <w:t>12</w:t>
            </w:r>
          </w:p>
        </w:tc>
        <w:tc>
          <w:tcPr>
            <w:tcW w:w="3683" w:type="dxa"/>
          </w:tcPr>
          <w:p w:rsidR="0023549B" w:rsidRPr="009B08F4" w:rsidRDefault="0023549B" w:rsidP="00D5394A">
            <w:pPr>
              <w:jc w:val="both"/>
              <w:rPr>
                <w:lang w:val="en-GB"/>
              </w:rPr>
            </w:pPr>
            <w:r w:rsidRPr="009B08F4">
              <w:rPr>
                <w:lang w:val="en-GB"/>
              </w:rPr>
              <w:t>Container construction</w:t>
            </w:r>
          </w:p>
        </w:tc>
        <w:tc>
          <w:tcPr>
            <w:tcW w:w="4814" w:type="dxa"/>
            <w:vAlign w:val="center"/>
          </w:tcPr>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p w:rsidR="0023549B" w:rsidRPr="009B08F4" w:rsidRDefault="0023549B" w:rsidP="00D5394A">
            <w:pPr>
              <w:jc w:val="both"/>
              <w:rPr>
                <w:lang w:val="en-GB"/>
              </w:rPr>
            </w:pPr>
          </w:p>
        </w:tc>
      </w:tr>
    </w:tbl>
    <w:p w:rsidR="0023549B" w:rsidRPr="009B08F4" w:rsidRDefault="0023549B" w:rsidP="0023549B">
      <w:pPr>
        <w:jc w:val="both"/>
        <w:rPr>
          <w:lang w:val="en-GB"/>
        </w:rPr>
      </w:pPr>
    </w:p>
    <w:p w:rsidR="0023549B" w:rsidRPr="0023549B" w:rsidRDefault="0023549B" w:rsidP="0023549B">
      <w:pPr>
        <w:spacing w:line="276" w:lineRule="auto"/>
        <w:jc w:val="right"/>
        <w:rPr>
          <w:rFonts w:ascii="Palatino Linotype" w:hAnsi="Palatino Linotype"/>
          <w:sz w:val="22"/>
          <w:szCs w:val="22"/>
          <w:lang w:val="en-GB"/>
        </w:rPr>
      </w:pPr>
    </w:p>
    <w:sectPr w:rsidR="0023549B" w:rsidRPr="0023549B"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8A2" w:rsidRDefault="00A878A2">
      <w:r>
        <w:separator/>
      </w:r>
    </w:p>
  </w:endnote>
  <w:endnote w:type="continuationSeparator" w:id="0">
    <w:p w:rsidR="00A878A2" w:rsidRDefault="00A87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8A2" w:rsidRDefault="00A878A2">
      <w:r>
        <w:separator/>
      </w:r>
    </w:p>
  </w:footnote>
  <w:footnote w:type="continuationSeparator" w:id="0">
    <w:p w:rsidR="00A878A2" w:rsidRDefault="00A87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A1" w:rsidRDefault="00CD6EA1" w:rsidP="00CD6EA1">
    <w:pPr>
      <w:pStyle w:val="Nagwek"/>
      <w:jc w:val="right"/>
      <w:rPr>
        <w:sz w:val="20"/>
        <w:szCs w:val="20"/>
      </w:rPr>
    </w:pPr>
    <w:r>
      <w:rPr>
        <w:b/>
        <w:sz w:val="18"/>
        <w:szCs w:val="18"/>
        <w:lang w:val="en-US"/>
      </w:rPr>
      <w:t>Attachment No 3</w:t>
    </w:r>
  </w:p>
  <w:p w:rsidR="00D549D7" w:rsidRPr="00086BA7" w:rsidRDefault="00D549D7" w:rsidP="00D549D7">
    <w:pPr>
      <w:pStyle w:val="Nagwek"/>
      <w:jc w:val="right"/>
      <w:rPr>
        <w:rFonts w:ascii="Verdana" w:hAnsi="Verdana"/>
        <w:i/>
        <w:sz w:val="16"/>
        <w:szCs w:val="16"/>
      </w:rPr>
    </w:pP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3D288320"/>
    <w:name w:val="WW8Num18"/>
    <w:lvl w:ilvl="0">
      <w:start w:val="1"/>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147C1A"/>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6" w15:restartNumberingAfterBreak="0">
    <w:nsid w:val="06A5222B"/>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7"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148038F0"/>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DA6C79"/>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14"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7"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3"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6"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9" w15:restartNumberingAfterBreak="0">
    <w:nsid w:val="3CC16DA9"/>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0"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2D40A40"/>
    <w:multiLevelType w:val="hybridMultilevel"/>
    <w:tmpl w:val="B40E05E2"/>
    <w:lvl w:ilvl="0" w:tplc="1C122090">
      <w:start w:val="3"/>
      <w:numFmt w:val="lowerLetter"/>
      <w:lvlText w:val="%1."/>
      <w:lvlJc w:val="left"/>
      <w:pPr>
        <w:tabs>
          <w:tab w:val="num" w:pos="360"/>
        </w:tabs>
        <w:ind w:left="360" w:hanging="360"/>
      </w:pPr>
      <w:rPr>
        <w:rFonts w:ascii="Verdana" w:hAnsi="Verdana" w:cs="Verdan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7"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58A6748"/>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9"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40"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C16C02"/>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4"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8"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40"/>
  </w:num>
  <w:num w:numId="2">
    <w:abstractNumId w:val="11"/>
  </w:num>
  <w:num w:numId="3">
    <w:abstractNumId w:val="27"/>
  </w:num>
  <w:num w:numId="4">
    <w:abstractNumId w:val="47"/>
  </w:num>
  <w:num w:numId="5">
    <w:abstractNumId w:val="33"/>
  </w:num>
  <w:num w:numId="6">
    <w:abstractNumId w:val="26"/>
  </w:num>
  <w:num w:numId="7">
    <w:abstractNumId w:val="20"/>
  </w:num>
  <w:num w:numId="8">
    <w:abstractNumId w:val="24"/>
  </w:num>
  <w:num w:numId="9">
    <w:abstractNumId w:val="25"/>
  </w:num>
  <w:num w:numId="10">
    <w:abstractNumId w:val="16"/>
  </w:num>
  <w:num w:numId="11">
    <w:abstractNumId w:val="7"/>
  </w:num>
  <w:num w:numId="12">
    <w:abstractNumId w:val="37"/>
  </w:num>
  <w:num w:numId="13">
    <w:abstractNumId w:val="8"/>
  </w:num>
  <w:num w:numId="14">
    <w:abstractNumId w:val="30"/>
  </w:num>
  <w:num w:numId="15">
    <w:abstractNumId w:val="19"/>
  </w:num>
  <w:num w:numId="16">
    <w:abstractNumId w:val="45"/>
  </w:num>
  <w:num w:numId="17">
    <w:abstractNumId w:val="28"/>
  </w:num>
  <w:num w:numId="18">
    <w:abstractNumId w:val="23"/>
  </w:num>
  <w:num w:numId="19">
    <w:abstractNumId w:val="42"/>
  </w:num>
  <w:num w:numId="20">
    <w:abstractNumId w:val="44"/>
  </w:num>
  <w:num w:numId="21">
    <w:abstractNumId w:val="34"/>
  </w:num>
  <w:num w:numId="22">
    <w:abstractNumId w:val="41"/>
  </w:num>
  <w:num w:numId="23">
    <w:abstractNumId w:val="21"/>
  </w:num>
  <w:num w:numId="24">
    <w:abstractNumId w:val="35"/>
  </w:num>
  <w:num w:numId="25">
    <w:abstractNumId w:val="46"/>
  </w:num>
  <w:num w:numId="26">
    <w:abstractNumId w:val="49"/>
  </w:num>
  <w:num w:numId="27">
    <w:abstractNumId w:val="39"/>
  </w:num>
  <w:num w:numId="28">
    <w:abstractNumId w:val="17"/>
  </w:num>
  <w:num w:numId="29">
    <w:abstractNumId w:val="22"/>
  </w:num>
  <w:num w:numId="30">
    <w:abstractNumId w:val="15"/>
  </w:num>
  <w:num w:numId="31">
    <w:abstractNumId w:val="9"/>
  </w:num>
  <w:num w:numId="32">
    <w:abstractNumId w:val="31"/>
  </w:num>
  <w:num w:numId="33">
    <w:abstractNumId w:val="18"/>
  </w:num>
  <w:num w:numId="34">
    <w:abstractNumId w:val="48"/>
  </w:num>
  <w:num w:numId="35">
    <w:abstractNumId w:val="4"/>
  </w:num>
  <w:num w:numId="36">
    <w:abstractNumId w:val="14"/>
  </w:num>
  <w:num w:numId="37">
    <w:abstractNumId w:val="10"/>
  </w:num>
  <w:num w:numId="38">
    <w:abstractNumId w:val="0"/>
  </w:num>
  <w:num w:numId="39">
    <w:abstractNumId w:val="1"/>
    <w:lvlOverride w:ilvl="0">
      <w:startOverride w:val="1"/>
    </w:lvlOverride>
  </w:num>
  <w:num w:numId="40">
    <w:abstractNumId w:val="36"/>
  </w:num>
  <w:num w:numId="41">
    <w:abstractNumId w:val="38"/>
  </w:num>
  <w:num w:numId="42">
    <w:abstractNumId w:val="6"/>
  </w:num>
  <w:num w:numId="43">
    <w:abstractNumId w:val="29"/>
  </w:num>
  <w:num w:numId="44">
    <w:abstractNumId w:val="2"/>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3"/>
  </w:num>
  <w:num w:numId="48">
    <w:abstractNumId w:val="32"/>
  </w:num>
  <w:num w:numId="49">
    <w:abstractNumId w:val="12"/>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69A0"/>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1070B"/>
    <w:rsid w:val="002251B0"/>
    <w:rsid w:val="0023549B"/>
    <w:rsid w:val="00266EAC"/>
    <w:rsid w:val="0027105F"/>
    <w:rsid w:val="0027294A"/>
    <w:rsid w:val="00272D84"/>
    <w:rsid w:val="00274911"/>
    <w:rsid w:val="00275820"/>
    <w:rsid w:val="00276AA2"/>
    <w:rsid w:val="00286495"/>
    <w:rsid w:val="00290DB6"/>
    <w:rsid w:val="002926FE"/>
    <w:rsid w:val="002A663A"/>
    <w:rsid w:val="002A77DF"/>
    <w:rsid w:val="002B7974"/>
    <w:rsid w:val="002C21C8"/>
    <w:rsid w:val="002D1A9B"/>
    <w:rsid w:val="002D5B6D"/>
    <w:rsid w:val="002D7E27"/>
    <w:rsid w:val="002E65FD"/>
    <w:rsid w:val="002F1FBF"/>
    <w:rsid w:val="002F3554"/>
    <w:rsid w:val="002F7ACF"/>
    <w:rsid w:val="00301504"/>
    <w:rsid w:val="003107FE"/>
    <w:rsid w:val="00316845"/>
    <w:rsid w:val="00320885"/>
    <w:rsid w:val="00321B42"/>
    <w:rsid w:val="00334C08"/>
    <w:rsid w:val="003436FB"/>
    <w:rsid w:val="003466A5"/>
    <w:rsid w:val="003502C9"/>
    <w:rsid w:val="00360C2A"/>
    <w:rsid w:val="00374115"/>
    <w:rsid w:val="00382BD6"/>
    <w:rsid w:val="0038618F"/>
    <w:rsid w:val="003868C4"/>
    <w:rsid w:val="003946D1"/>
    <w:rsid w:val="00394755"/>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46832"/>
    <w:rsid w:val="00452B83"/>
    <w:rsid w:val="004539B1"/>
    <w:rsid w:val="00454CA4"/>
    <w:rsid w:val="004628FE"/>
    <w:rsid w:val="00474BF6"/>
    <w:rsid w:val="004811D3"/>
    <w:rsid w:val="0049128D"/>
    <w:rsid w:val="004917D4"/>
    <w:rsid w:val="00491813"/>
    <w:rsid w:val="0049526A"/>
    <w:rsid w:val="004B744C"/>
    <w:rsid w:val="004C7AFB"/>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5367E"/>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4535"/>
    <w:rsid w:val="005F616C"/>
    <w:rsid w:val="005F7FA7"/>
    <w:rsid w:val="006034C5"/>
    <w:rsid w:val="00604B4D"/>
    <w:rsid w:val="00604E8F"/>
    <w:rsid w:val="00606447"/>
    <w:rsid w:val="00606BB3"/>
    <w:rsid w:val="006076C7"/>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511"/>
    <w:rsid w:val="00802E88"/>
    <w:rsid w:val="00804C30"/>
    <w:rsid w:val="00816977"/>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4436"/>
    <w:rsid w:val="009F615D"/>
    <w:rsid w:val="009F7704"/>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878A2"/>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B1EA1"/>
    <w:rsid w:val="00BC314A"/>
    <w:rsid w:val="00BD374B"/>
    <w:rsid w:val="00BE76C9"/>
    <w:rsid w:val="00BF499C"/>
    <w:rsid w:val="00BF5B2E"/>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D6EA1"/>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D4BF1"/>
    <w:rsid w:val="00DE04DC"/>
    <w:rsid w:val="00DE08D9"/>
    <w:rsid w:val="00DE2BD3"/>
    <w:rsid w:val="00DE37F1"/>
    <w:rsid w:val="00DE3C96"/>
    <w:rsid w:val="00DE4C84"/>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1DF3"/>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84628"/>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uiPriority w:val="39"/>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qFormat/>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1140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15645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4D91BC-00AA-443B-B4C2-FDF794806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4099</Words>
  <Characters>22064</Characters>
  <Application>Microsoft Office Word</Application>
  <DocSecurity>0</DocSecurity>
  <Lines>183</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2024-10-31T07:38:00Z</dcterms:created>
  <dcterms:modified xsi:type="dcterms:W3CDTF">2024-10-31T07:38:00Z</dcterms:modified>
</cp:coreProperties>
</file>